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中共大厂回族自治县委宣传部</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按照《中华人民共和国预算法》、《中华人民共和国预算法实施条例》、《地方预决算公开操作规程》和《河北省省级预算公开办法》规定，现将中共</w:t>
      </w:r>
      <w:r>
        <w:rPr>
          <w:rFonts w:hint="eastAsia" w:ascii="仿宋" w:hAnsi="仿宋" w:eastAsia="仿宋" w:cs="Times New Roman"/>
          <w:sz w:val="32"/>
          <w:szCs w:val="32"/>
        </w:rPr>
        <w:t>大厂回族自治县委宣传部</w:t>
      </w: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年部门预算公开如下：</w:t>
      </w:r>
    </w:p>
    <w:p>
      <w:pPr>
        <w:spacing w:line="584" w:lineRule="exact"/>
        <w:ind w:firstLine="640" w:firstLineChars="200"/>
        <w:rPr>
          <w:rFonts w:ascii="黑体" w:hAnsi="黑体" w:eastAsia="黑体" w:cs="Times New Roman"/>
          <w:sz w:val="32"/>
          <w:szCs w:val="32"/>
        </w:rPr>
      </w:pPr>
      <w:r>
        <w:rPr>
          <w:rFonts w:ascii="黑体" w:hAnsi="黑体" w:eastAsia="黑体" w:cs="Times New Roman"/>
          <w:sz w:val="32"/>
          <w:szCs w:val="32"/>
        </w:rPr>
        <w:t>一、部门职责及机构设置情况</w:t>
      </w:r>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部门职责：</w:t>
      </w:r>
    </w:p>
    <w:p>
      <w:pPr>
        <w:spacing w:line="500" w:lineRule="exact"/>
        <w:ind w:firstLine="560" w:firstLineChars="200"/>
        <w:jc w:val="left"/>
        <w:rPr>
          <w:rFonts w:ascii="Times New Roman" w:eastAsia="方正仿宋_GBK"/>
          <w:sz w:val="28"/>
        </w:rPr>
      </w:pPr>
      <w:r>
        <w:rPr>
          <w:rFonts w:ascii="Times New Roman" w:eastAsia="方正仿宋_GBK"/>
          <w:sz w:val="28"/>
        </w:rPr>
        <w:t>(一)拟定全县宣传思想文化工作重大方针政策和事业发展总体规划，统筹协调推进宣传思想文化领域法治建设，按照县委统一部署，协调宣传思想文化系统各部门之间的工作。</w:t>
      </w:r>
    </w:p>
    <w:p>
      <w:pPr>
        <w:spacing w:line="500" w:lineRule="exact"/>
        <w:ind w:firstLine="560" w:firstLineChars="200"/>
        <w:jc w:val="left"/>
        <w:rPr>
          <w:rFonts w:ascii="Times New Roman" w:eastAsia="方正仿宋_GBK"/>
          <w:sz w:val="28"/>
        </w:rPr>
      </w:pPr>
      <w:r>
        <w:rPr>
          <w:rFonts w:ascii="Times New Roman" w:eastAsia="方正仿宋_GBK"/>
          <w:sz w:val="28"/>
        </w:rPr>
        <w:t>(二)统筹协调全县党的意识形态工作，贯彻落实县委关于意识形态工作决策部署，组织协调意识形态工作责任制落实和日常监督检查，结合巡察工作开展专项检查。</w:t>
      </w:r>
    </w:p>
    <w:p>
      <w:pPr>
        <w:spacing w:line="500" w:lineRule="exact"/>
        <w:ind w:firstLine="560" w:firstLineChars="200"/>
        <w:jc w:val="left"/>
        <w:rPr>
          <w:rFonts w:ascii="Times New Roman" w:eastAsia="方正仿宋_GBK"/>
          <w:sz w:val="28"/>
        </w:rPr>
      </w:pPr>
      <w:r>
        <w:rPr>
          <w:rFonts w:ascii="Times New Roman" w:eastAsia="方正仿宋_GBK"/>
          <w:sz w:val="28"/>
        </w:rPr>
        <w:t>(三)统筹指导协调全县理论研究、理论学习、理论宣传工作，组织推动理论武装工作，推动落实马克思主义理论研究和建设工程任务，负责县委理论学习中心组学习的有关工作。</w:t>
      </w:r>
    </w:p>
    <w:p>
      <w:pPr>
        <w:spacing w:line="500" w:lineRule="exact"/>
        <w:ind w:firstLine="560" w:firstLineChars="200"/>
        <w:jc w:val="left"/>
        <w:rPr>
          <w:rFonts w:ascii="Times New Roman" w:eastAsia="方正仿宋_GBK"/>
          <w:sz w:val="28"/>
        </w:rPr>
      </w:pPr>
      <w:r>
        <w:rPr>
          <w:rFonts w:ascii="Times New Roman" w:eastAsia="方正仿宋_GBK"/>
          <w:sz w:val="28"/>
        </w:rPr>
        <w:t>(四)负责规划组织全县全局性思想政治工作任务，组织对全县先进典型的学习推广。配合县委组织部做好基层党员教育工作，指导协调编写党员教育教材，会同有关部门研究和改进群众思想教育工作。负责全县爱国主义教育基地的建设、管理、使用。负责全县国防教育工作。</w:t>
      </w:r>
    </w:p>
    <w:p>
      <w:pPr>
        <w:spacing w:line="500" w:lineRule="exact"/>
        <w:ind w:firstLine="560" w:firstLineChars="200"/>
        <w:jc w:val="left"/>
        <w:rPr>
          <w:rFonts w:ascii="Times New Roman" w:eastAsia="方正仿宋_GBK"/>
          <w:sz w:val="28"/>
        </w:rPr>
      </w:pPr>
      <w:r>
        <w:rPr>
          <w:rFonts w:ascii="Times New Roman" w:eastAsia="方正仿宋_GBK"/>
          <w:sz w:val="28"/>
        </w:rPr>
        <w:t>(五)统筹分析研判和引导全县社会舆论，指导协调县直新闻单位的工作，组织全县突发公共事件应急新闻工作。承担县突发公共事件应急新闻办公室日常工作。</w:t>
      </w:r>
    </w:p>
    <w:p>
      <w:pPr>
        <w:spacing w:line="500" w:lineRule="exact"/>
        <w:ind w:firstLine="560" w:firstLineChars="200"/>
        <w:jc w:val="left"/>
        <w:rPr>
          <w:rFonts w:ascii="Times New Roman" w:eastAsia="方正仿宋_GBK"/>
          <w:sz w:val="28"/>
        </w:rPr>
      </w:pPr>
      <w:r>
        <w:rPr>
          <w:rFonts w:hint="eastAsia" w:ascii="Times New Roman" w:eastAsia="方正仿宋_GBK"/>
          <w:sz w:val="28"/>
        </w:rPr>
        <w:t>（</w:t>
      </w:r>
      <w:r>
        <w:rPr>
          <w:rFonts w:ascii="Times New Roman" w:eastAsia="方正仿宋_GBK"/>
          <w:sz w:val="28"/>
        </w:rPr>
        <w:t>六）拟定全县新闻出版业的管理政策并督促落实，</w:t>
      </w:r>
      <w:r>
        <w:rPr>
          <w:rFonts w:ascii="Times New Roman" w:eastAsia="方正仿宋_GBK"/>
          <w:color w:val="000000" w:themeColor="text1"/>
          <w:sz w:val="28"/>
        </w:rPr>
        <w:t>管理新闻出版行</w:t>
      </w:r>
      <w:r>
        <w:rPr>
          <w:rFonts w:hint="eastAsia" w:ascii="Times New Roman" w:eastAsia="方正仿宋_GBK"/>
          <w:color w:val="000000" w:themeColor="text1"/>
          <w:sz w:val="28"/>
        </w:rPr>
        <w:t>政事务。</w:t>
      </w:r>
      <w:r>
        <w:rPr>
          <w:rFonts w:ascii="Times New Roman" w:eastAsia="方正仿宋_GBK"/>
          <w:sz w:val="28"/>
        </w:rPr>
        <w:t>协调全县“扫黄打非”工作。</w:t>
      </w:r>
    </w:p>
    <w:p>
      <w:pPr>
        <w:spacing w:line="500" w:lineRule="exact"/>
        <w:ind w:firstLine="560" w:firstLineChars="200"/>
        <w:jc w:val="left"/>
        <w:rPr>
          <w:rFonts w:ascii="Times New Roman" w:eastAsia="方正仿宋_GBK"/>
          <w:sz w:val="28"/>
        </w:rPr>
      </w:pPr>
      <w:r>
        <w:rPr>
          <w:rFonts w:ascii="Times New Roman" w:eastAsia="方正仿宋_GBK"/>
          <w:sz w:val="28"/>
        </w:rPr>
        <w:t>(七）从宏观上统筹指导协调全县互联网宣传和信息内容管理工作。统筹数字新媒体的建设和管理。</w:t>
      </w:r>
    </w:p>
    <w:p>
      <w:pPr>
        <w:spacing w:line="500" w:lineRule="exact"/>
        <w:ind w:firstLine="560" w:firstLineChars="200"/>
        <w:jc w:val="left"/>
        <w:rPr>
          <w:rFonts w:ascii="Times New Roman" w:eastAsia="方正仿宋_GBK"/>
          <w:sz w:val="28"/>
        </w:rPr>
      </w:pPr>
      <w:r>
        <w:rPr>
          <w:rFonts w:hint="eastAsia" w:ascii="Times New Roman" w:eastAsia="方正仿宋_GBK"/>
          <w:sz w:val="28"/>
        </w:rPr>
        <w:t>（</w:t>
      </w:r>
      <w:r>
        <w:rPr>
          <w:rFonts w:ascii="Times New Roman" w:eastAsia="方正仿宋_GBK"/>
          <w:sz w:val="28"/>
        </w:rPr>
        <w:t>八)从宏观上统筹指导协调推动全县精神文化产品的创作和生产。协调组织中华优秀传统文化传承发展有关工作，指导协调推动群众文化建设。</w:t>
      </w:r>
    </w:p>
    <w:p>
      <w:pPr>
        <w:spacing w:line="500" w:lineRule="exact"/>
        <w:ind w:firstLine="560" w:firstLineChars="200"/>
        <w:jc w:val="left"/>
        <w:rPr>
          <w:rFonts w:ascii="Times New Roman" w:eastAsia="方正仿宋_GBK"/>
          <w:sz w:val="28"/>
        </w:rPr>
      </w:pPr>
      <w:r>
        <w:rPr>
          <w:rFonts w:ascii="Times New Roman" w:eastAsia="方正仿宋_GBK"/>
          <w:sz w:val="28"/>
        </w:rPr>
        <w:t>（九）负责管理全县电影行政事务，指导监管电影制片、发行、放映工作，组织对电影内容进行审查，指导协调全县性重大电影活动。</w:t>
      </w:r>
    </w:p>
    <w:p>
      <w:pPr>
        <w:spacing w:line="500" w:lineRule="exact"/>
        <w:ind w:firstLine="560" w:firstLineChars="200"/>
        <w:jc w:val="left"/>
        <w:rPr>
          <w:rFonts w:ascii="Times New Roman" w:eastAsia="方正仿宋_GBK"/>
          <w:sz w:val="28"/>
        </w:rPr>
      </w:pPr>
      <w:r>
        <w:rPr>
          <w:rFonts w:ascii="Times New Roman" w:eastAsia="方正仿宋_GBK"/>
          <w:sz w:val="28"/>
        </w:rPr>
        <w:t>(十)对全县新闻出版、广播影视、文化艺术业改革发展研究提出政笼性建议，统筹指导协调文化体制改革和文化事业、文化产业及旅游业发展，负责县级文化企业国有资产监督管理。承担县文化体制改革专项小组办公室日常工作。</w:t>
      </w:r>
    </w:p>
    <w:p>
      <w:pPr>
        <w:spacing w:line="500" w:lineRule="exact"/>
        <w:ind w:firstLine="560" w:firstLineChars="200"/>
        <w:jc w:val="left"/>
        <w:rPr>
          <w:rFonts w:ascii="Times New Roman" w:eastAsia="方正仿宋_GBK"/>
          <w:sz w:val="28"/>
        </w:rPr>
      </w:pPr>
      <w:r>
        <w:rPr>
          <w:rFonts w:ascii="Times New Roman" w:eastAsia="方正仿宋_GBK"/>
          <w:sz w:val="28"/>
        </w:rPr>
        <w:t>(十一)统筹指导全县舆情信息工作，组织协调开展省内外舆情信息收集分析研判工作。跟踪了解</w:t>
      </w:r>
      <w:r>
        <w:rPr>
          <w:rFonts w:hint="eastAsia" w:ascii="Times New Roman" w:eastAsia="方正仿宋_GBK"/>
          <w:sz w:val="28"/>
        </w:rPr>
        <w:t>、</w:t>
      </w:r>
      <w:r>
        <w:rPr>
          <w:rFonts w:ascii="Times New Roman" w:eastAsia="方正仿宋_GBK"/>
          <w:sz w:val="28"/>
        </w:rPr>
        <w:t>研究掌握宣传舆情动态。</w:t>
      </w:r>
    </w:p>
    <w:p>
      <w:pPr>
        <w:spacing w:line="500" w:lineRule="exact"/>
        <w:ind w:firstLine="560" w:firstLineChars="200"/>
        <w:jc w:val="left"/>
        <w:rPr>
          <w:rFonts w:ascii="Times New Roman" w:eastAsia="方正仿宋_GBK"/>
          <w:sz w:val="28"/>
        </w:rPr>
      </w:pPr>
      <w:r>
        <w:rPr>
          <w:rFonts w:ascii="Times New Roman" w:eastAsia="方正仿宋_GBK"/>
          <w:sz w:val="28"/>
        </w:rPr>
        <w:t>(十二)统筹研究拟订有关全县精神文明建设的方针、政策。规划部署全县精神文明建设工作，组织指导全县群众性精神文明创建活动。</w:t>
      </w:r>
    </w:p>
    <w:p>
      <w:pPr>
        <w:spacing w:line="500" w:lineRule="exact"/>
        <w:ind w:firstLine="560" w:firstLineChars="200"/>
        <w:jc w:val="left"/>
        <w:rPr>
          <w:rFonts w:ascii="Times New Roman" w:eastAsia="方正仿宋_GBK"/>
          <w:sz w:val="28"/>
        </w:rPr>
      </w:pPr>
      <w:r>
        <w:rPr>
          <w:rFonts w:ascii="Times New Roman" w:eastAsia="方正仿宋_GBK"/>
          <w:sz w:val="28"/>
        </w:rPr>
        <w:t>(十三)统筹协调全县对外宣传工作。指导协调有关部门研究拟订全县对外宣传事业发展规划，组织协调我县对外宣传文化交流工作，会同有关部门做好境外记者采访事务方面工作。</w:t>
      </w:r>
    </w:p>
    <w:p>
      <w:pPr>
        <w:spacing w:line="500" w:lineRule="exact"/>
        <w:ind w:firstLine="560" w:firstLineChars="200"/>
        <w:jc w:val="left"/>
        <w:rPr>
          <w:rFonts w:ascii="Times New Roman" w:eastAsia="方正仿宋_GBK"/>
          <w:sz w:val="28"/>
        </w:rPr>
      </w:pPr>
      <w:r>
        <w:rPr>
          <w:rFonts w:ascii="Times New Roman" w:eastAsia="方正仿宋_GBK"/>
          <w:sz w:val="28"/>
        </w:rPr>
        <w:t>(十四)统筹协调组织开展新闻发布工作。承担县委新闻发布有关组织协调工作，负责县政府新闻发布组织实施工作。指导协调县政府各部门和各镇(街道)、各园区的新闻发布工作，推动新闻发音人制度落实。拟订我县重大问题对外宣传口径。</w:t>
      </w:r>
    </w:p>
    <w:p>
      <w:pPr>
        <w:spacing w:line="500" w:lineRule="exact"/>
        <w:ind w:firstLine="560" w:firstLineChars="200"/>
        <w:jc w:val="left"/>
        <w:rPr>
          <w:rFonts w:ascii="Times New Roman" w:eastAsia="方正仿宋_GBK"/>
          <w:sz w:val="28"/>
        </w:rPr>
      </w:pPr>
      <w:r>
        <w:rPr>
          <w:rFonts w:ascii="Times New Roman" w:eastAsia="方正仿宋_GBK"/>
          <w:sz w:val="28"/>
        </w:rPr>
        <w:t>(十五)统筹指导协调全县哲学社会科学发展工作，组织制定发展战略和中长期规划和专项计划。组织哲学社会科学研究课题成果转化反应等工作。</w:t>
      </w:r>
    </w:p>
    <w:p>
      <w:pPr>
        <w:spacing w:line="500" w:lineRule="exact"/>
        <w:ind w:firstLine="560" w:firstLineChars="200"/>
        <w:jc w:val="left"/>
        <w:rPr>
          <w:rFonts w:ascii="Times New Roman" w:eastAsia="方正仿宋_GBK"/>
          <w:sz w:val="28"/>
        </w:rPr>
      </w:pPr>
      <w:r>
        <w:rPr>
          <w:rFonts w:ascii="Times New Roman" w:eastAsia="方正仿宋_GBK"/>
          <w:sz w:val="28"/>
        </w:rPr>
        <w:t>(十六）受县委委托，会同县委组织部管理新闻、文化、出版和互联网</w:t>
      </w:r>
      <w:r>
        <w:rPr>
          <w:rFonts w:hint="eastAsia" w:ascii="Times New Roman" w:eastAsia="方正仿宋_GBK"/>
          <w:color w:val="C00000"/>
          <w:sz w:val="28"/>
        </w:rPr>
        <w:t>信息</w:t>
      </w:r>
      <w:r>
        <w:rPr>
          <w:rFonts w:ascii="Times New Roman" w:eastAsia="方正仿宋_GBK"/>
          <w:sz w:val="28"/>
        </w:rPr>
        <w:t>等方面县直宣传文化单位的领导干部。对各镇（街道)宣传委员的免提出意见。负责有关重要宣传舆论阵地和重要岗位领导干部管理</w:t>
      </w:r>
      <w:r>
        <w:rPr>
          <w:rFonts w:hint="eastAsia" w:ascii="Times New Roman" w:eastAsia="方正仿宋_GBK"/>
          <w:sz w:val="28"/>
        </w:rPr>
        <w:t>工</w:t>
      </w:r>
      <w:r>
        <w:rPr>
          <w:rFonts w:ascii="Times New Roman" w:eastAsia="方正仿宋_GBK"/>
          <w:sz w:val="28"/>
        </w:rPr>
        <w:t>作。负责组织开展宣传思想文化系统干部教育培训和人才工作。</w:t>
      </w:r>
    </w:p>
    <w:p>
      <w:pPr>
        <w:spacing w:line="500" w:lineRule="exact"/>
        <w:ind w:firstLine="560" w:firstLineChars="200"/>
        <w:jc w:val="left"/>
        <w:rPr>
          <w:rFonts w:ascii="Times New Roman" w:eastAsia="方正仿宋_GBK"/>
          <w:sz w:val="28"/>
        </w:rPr>
      </w:pPr>
      <w:r>
        <w:rPr>
          <w:rFonts w:ascii="Times New Roman" w:eastAsia="方正仿宋_GBK"/>
          <w:sz w:val="28"/>
        </w:rPr>
        <w:t>（十七）对县委互联网信息办公室互联网宣传和信息内容管理方面工作实施方针、政策的指导。归口领导县文化广电和旅游局、大厂广播电视台。受县委委托，代管县文联。</w:t>
      </w:r>
    </w:p>
    <w:p>
      <w:pPr>
        <w:spacing w:line="500" w:lineRule="exact"/>
        <w:ind w:firstLine="560" w:firstLineChars="200"/>
        <w:jc w:val="left"/>
        <w:rPr>
          <w:rFonts w:ascii="Times New Roman" w:eastAsia="方正仿宋_GBK"/>
          <w:sz w:val="28"/>
        </w:rPr>
      </w:pPr>
      <w:r>
        <w:rPr>
          <w:rFonts w:ascii="Times New Roman" w:eastAsia="方正仿宋_GBK"/>
          <w:sz w:val="28"/>
        </w:rPr>
        <w:t>(十八)完成县委交办的其他任务。</w:t>
      </w:r>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机构设置：</w:t>
      </w:r>
    </w:p>
    <w:p>
      <w:pPr>
        <w:spacing w:line="584" w:lineRule="exact"/>
        <w:jc w:val="center"/>
        <w:outlineLvl w:val="0"/>
        <w:rPr>
          <w:rFonts w:ascii="仿宋" w:hAnsi="仿宋" w:eastAsia="仿宋" w:cs="Times New Roman"/>
          <w:b/>
          <w:sz w:val="32"/>
          <w:szCs w:val="24"/>
        </w:rPr>
      </w:pPr>
      <w:r>
        <w:rPr>
          <w:rFonts w:ascii="仿宋" w:hAnsi="仿宋" w:eastAsia="仿宋"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单位名称</w:t>
            </w:r>
          </w:p>
        </w:tc>
        <w:tc>
          <w:tcPr>
            <w:tcW w:w="1134"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单位性质</w:t>
            </w:r>
          </w:p>
        </w:tc>
        <w:tc>
          <w:tcPr>
            <w:tcW w:w="1276"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单位规格</w:t>
            </w:r>
          </w:p>
        </w:tc>
        <w:tc>
          <w:tcPr>
            <w:tcW w:w="2902"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中共大厂回族自治县委宣传部</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按照预算管理有关规定，目前我</w:t>
      </w:r>
      <w:r>
        <w:rPr>
          <w:rFonts w:hint="eastAsia" w:ascii="仿宋" w:hAnsi="仿宋" w:eastAsia="仿宋" w:cs="Times New Roman"/>
          <w:sz w:val="32"/>
          <w:szCs w:val="32"/>
        </w:rPr>
        <w:t>县</w:t>
      </w:r>
      <w:r>
        <w:rPr>
          <w:rFonts w:ascii="仿宋" w:hAnsi="仿宋" w:eastAsia="仿宋" w:cs="Times New Roman"/>
          <w:sz w:val="32"/>
          <w:szCs w:val="32"/>
        </w:rPr>
        <w:t>部门预算的编制实行综合预算制度，即全部收入和支出都反映在预算中。中共</w:t>
      </w:r>
      <w:r>
        <w:rPr>
          <w:rFonts w:hint="eastAsia" w:ascii="仿宋" w:hAnsi="仿宋" w:eastAsia="仿宋" w:cs="Times New Roman"/>
          <w:sz w:val="32"/>
          <w:szCs w:val="32"/>
        </w:rPr>
        <w:t>大厂回族自治县委宣传部</w:t>
      </w:r>
      <w:r>
        <w:rPr>
          <w:rFonts w:ascii="仿宋" w:hAnsi="仿宋" w:eastAsia="仿宋" w:cs="Times New Roman"/>
          <w:sz w:val="32"/>
          <w:szCs w:val="32"/>
        </w:rPr>
        <w:t>机关的收支包含在部门预算中。</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1、收入说明</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反映本部门当年全部收入。20</w:t>
      </w:r>
      <w:r>
        <w:rPr>
          <w:rFonts w:hint="eastAsia" w:ascii="仿宋" w:hAnsi="仿宋" w:eastAsia="仿宋" w:cs="Times New Roman"/>
          <w:sz w:val="32"/>
          <w:szCs w:val="32"/>
        </w:rPr>
        <w:t>22</w:t>
      </w:r>
      <w:r>
        <w:rPr>
          <w:rFonts w:ascii="仿宋" w:hAnsi="仿宋" w:eastAsia="仿宋" w:cs="Times New Roman"/>
          <w:sz w:val="32"/>
          <w:szCs w:val="32"/>
        </w:rPr>
        <w:t>年预算收入</w:t>
      </w:r>
      <w:r>
        <w:rPr>
          <w:rFonts w:hint="eastAsia" w:ascii="仿宋" w:hAnsi="仿宋" w:eastAsia="仿宋" w:cs="Times New Roman"/>
          <w:sz w:val="32"/>
          <w:szCs w:val="32"/>
        </w:rPr>
        <w:t>1739.62</w:t>
      </w:r>
      <w:r>
        <w:rPr>
          <w:rFonts w:ascii="仿宋" w:hAnsi="仿宋" w:eastAsia="仿宋" w:cs="Times New Roman"/>
          <w:sz w:val="32"/>
          <w:szCs w:val="32"/>
        </w:rPr>
        <w:t>万元，其中：一般公共预算收入</w:t>
      </w:r>
      <w:r>
        <w:rPr>
          <w:rFonts w:hint="eastAsia" w:ascii="仿宋" w:hAnsi="仿宋" w:eastAsia="仿宋" w:cs="Times New Roman"/>
          <w:sz w:val="32"/>
          <w:szCs w:val="32"/>
        </w:rPr>
        <w:t>1667.62</w:t>
      </w:r>
      <w:r>
        <w:rPr>
          <w:rFonts w:ascii="仿宋" w:hAnsi="仿宋" w:eastAsia="仿宋" w:cs="Times New Roman"/>
          <w:sz w:val="32"/>
          <w:szCs w:val="32"/>
        </w:rPr>
        <w:t>万元，基金预算收入</w:t>
      </w:r>
      <w:r>
        <w:rPr>
          <w:rFonts w:hint="eastAsia" w:ascii="仿宋" w:hAnsi="仿宋" w:eastAsia="仿宋" w:cs="Times New Roman"/>
          <w:sz w:val="32"/>
          <w:szCs w:val="32"/>
        </w:rPr>
        <w:t>1</w:t>
      </w:r>
      <w:r>
        <w:rPr>
          <w:rFonts w:ascii="仿宋" w:hAnsi="仿宋" w:eastAsia="仿宋" w:cs="Times New Roman"/>
          <w:sz w:val="32"/>
          <w:szCs w:val="32"/>
        </w:rPr>
        <w:t>万元，财政专户核拨收入</w:t>
      </w:r>
      <w:r>
        <w:rPr>
          <w:rFonts w:hint="eastAsia" w:ascii="仿宋" w:hAnsi="仿宋" w:eastAsia="仿宋" w:cs="Times New Roman"/>
          <w:sz w:val="32"/>
          <w:szCs w:val="32"/>
        </w:rPr>
        <w:t>0</w:t>
      </w:r>
      <w:r>
        <w:rPr>
          <w:rFonts w:ascii="仿宋" w:hAnsi="仿宋" w:eastAsia="仿宋" w:cs="Times New Roman"/>
          <w:sz w:val="32"/>
          <w:szCs w:val="32"/>
        </w:rPr>
        <w:t>万元，其他来源收入</w:t>
      </w:r>
      <w:r>
        <w:rPr>
          <w:rFonts w:hint="eastAsia" w:ascii="仿宋" w:hAnsi="仿宋" w:eastAsia="仿宋" w:cs="Times New Roman"/>
          <w:sz w:val="32"/>
          <w:szCs w:val="32"/>
        </w:rPr>
        <w:t>0</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上年结转</w:t>
      </w:r>
      <w:r>
        <w:rPr>
          <w:rFonts w:hint="eastAsia" w:ascii="仿宋" w:hAnsi="仿宋" w:eastAsia="仿宋" w:cs="Times New Roman"/>
          <w:sz w:val="32"/>
          <w:szCs w:val="32"/>
        </w:rPr>
        <w:t>71万元</w:t>
      </w:r>
      <w:r>
        <w:rPr>
          <w:rFonts w:ascii="仿宋" w:hAnsi="仿宋" w:eastAsia="仿宋" w:cs="Times New Roman"/>
          <w:sz w:val="32"/>
          <w:szCs w:val="32"/>
        </w:rPr>
        <w:t>。</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2、支出说明</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收支预算总表支出栏、基本支出表、项目支出表按经济分类和支出功能分类科目编制，反映</w:t>
      </w:r>
      <w:r>
        <w:rPr>
          <w:rFonts w:hint="eastAsia" w:ascii="仿宋" w:hAnsi="仿宋" w:eastAsia="仿宋" w:cs="Times New Roman"/>
          <w:sz w:val="32"/>
          <w:szCs w:val="32"/>
        </w:rPr>
        <w:t>大厂回族自治县委宣传部</w:t>
      </w:r>
      <w:r>
        <w:rPr>
          <w:rFonts w:ascii="仿宋" w:hAnsi="仿宋" w:eastAsia="仿宋" w:cs="Times New Roman"/>
          <w:sz w:val="32"/>
          <w:szCs w:val="32"/>
        </w:rPr>
        <w:t>年度部门预算中支出预算的总体情况。20</w:t>
      </w:r>
      <w:r>
        <w:rPr>
          <w:rFonts w:hint="eastAsia" w:ascii="仿宋" w:hAnsi="仿宋" w:eastAsia="仿宋" w:cs="Times New Roman"/>
          <w:sz w:val="32"/>
          <w:szCs w:val="32"/>
        </w:rPr>
        <w:t>22</w:t>
      </w:r>
      <w:r>
        <w:rPr>
          <w:rFonts w:ascii="仿宋" w:hAnsi="仿宋" w:eastAsia="仿宋" w:cs="Times New Roman"/>
          <w:sz w:val="32"/>
          <w:szCs w:val="32"/>
        </w:rPr>
        <w:t>年支出预算</w:t>
      </w:r>
      <w:r>
        <w:rPr>
          <w:rFonts w:hint="eastAsia" w:ascii="仿宋" w:hAnsi="仿宋" w:eastAsia="仿宋" w:cs="Times New Roman"/>
          <w:sz w:val="32"/>
          <w:szCs w:val="32"/>
        </w:rPr>
        <w:t>1739.62</w:t>
      </w:r>
      <w:r>
        <w:rPr>
          <w:rFonts w:ascii="仿宋" w:hAnsi="仿宋" w:eastAsia="仿宋" w:cs="Times New Roman"/>
          <w:sz w:val="32"/>
          <w:szCs w:val="32"/>
        </w:rPr>
        <w:t>万元，其中基本支出</w:t>
      </w:r>
      <w:r>
        <w:rPr>
          <w:rFonts w:hint="eastAsia" w:ascii="仿宋" w:hAnsi="仿宋" w:eastAsia="仿宋" w:cs="Times New Roman"/>
          <w:sz w:val="32"/>
          <w:szCs w:val="32"/>
        </w:rPr>
        <w:t>400</w:t>
      </w:r>
      <w:r>
        <w:rPr>
          <w:rFonts w:ascii="仿宋" w:hAnsi="仿宋" w:eastAsia="仿宋" w:cs="Times New Roman"/>
          <w:sz w:val="32"/>
          <w:szCs w:val="32"/>
        </w:rPr>
        <w:t>万元，包括人员类项目经费</w:t>
      </w:r>
      <w:r>
        <w:rPr>
          <w:rFonts w:hint="eastAsia" w:ascii="仿宋" w:hAnsi="仿宋" w:eastAsia="仿宋" w:cs="Times New Roman"/>
          <w:sz w:val="32"/>
          <w:szCs w:val="32"/>
        </w:rPr>
        <w:t>349.49</w:t>
      </w:r>
      <w:r>
        <w:rPr>
          <w:rFonts w:ascii="仿宋" w:hAnsi="仿宋" w:eastAsia="仿宋" w:cs="Times New Roman"/>
          <w:sz w:val="32"/>
          <w:szCs w:val="32"/>
        </w:rPr>
        <w:t>万元和</w:t>
      </w:r>
      <w:r>
        <w:rPr>
          <w:rFonts w:hint="eastAsia" w:ascii="仿宋" w:hAnsi="仿宋" w:eastAsia="仿宋" w:cs="Times New Roman"/>
          <w:sz w:val="32"/>
          <w:szCs w:val="32"/>
        </w:rPr>
        <w:t>运转类</w:t>
      </w:r>
      <w:r>
        <w:rPr>
          <w:rFonts w:ascii="仿宋" w:hAnsi="仿宋" w:eastAsia="仿宋" w:cs="Times New Roman"/>
          <w:sz w:val="32"/>
          <w:szCs w:val="32"/>
        </w:rPr>
        <w:t>公用项目经费</w:t>
      </w:r>
      <w:r>
        <w:rPr>
          <w:rFonts w:hint="eastAsia" w:ascii="仿宋" w:hAnsi="仿宋" w:eastAsia="仿宋" w:cs="Times New Roman"/>
          <w:sz w:val="32"/>
          <w:szCs w:val="32"/>
        </w:rPr>
        <w:t>50.93</w:t>
      </w:r>
      <w:r>
        <w:rPr>
          <w:rFonts w:ascii="仿宋" w:hAnsi="仿宋" w:eastAsia="仿宋" w:cs="Times New Roman"/>
          <w:sz w:val="32"/>
          <w:szCs w:val="32"/>
        </w:rPr>
        <w:t>万元；运转类其他及特定目标类项目支出</w:t>
      </w:r>
      <w:r>
        <w:rPr>
          <w:rFonts w:hint="eastAsia" w:ascii="仿宋" w:hAnsi="仿宋" w:eastAsia="仿宋" w:cs="Times New Roman"/>
          <w:sz w:val="32"/>
          <w:szCs w:val="32"/>
        </w:rPr>
        <w:t>50.93</w:t>
      </w:r>
      <w:r>
        <w:rPr>
          <w:rFonts w:ascii="仿宋" w:hAnsi="仿宋" w:eastAsia="仿宋" w:cs="Times New Roman"/>
          <w:sz w:val="32"/>
          <w:szCs w:val="32"/>
        </w:rPr>
        <w:t>万元，包括本级支出，主要为</w:t>
      </w:r>
      <w:r>
        <w:rPr>
          <w:rFonts w:hint="eastAsia" w:ascii="仿宋" w:hAnsi="仿宋" w:eastAsia="仿宋" w:cs="Times New Roman"/>
          <w:sz w:val="32"/>
          <w:szCs w:val="32"/>
        </w:rPr>
        <w:t>办公费、印刷费、邮电费、差旅费、维护费</w:t>
      </w:r>
      <w:r>
        <w:rPr>
          <w:rFonts w:ascii="仿宋" w:hAnsi="仿宋" w:eastAsia="仿宋" w:cs="Times New Roman"/>
          <w:sz w:val="32"/>
          <w:szCs w:val="32"/>
        </w:rPr>
        <w:t>等。</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3、比上年增减情况</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年预算收支安排</w:t>
      </w:r>
      <w:r>
        <w:rPr>
          <w:rFonts w:hint="eastAsia" w:ascii="仿宋" w:hAnsi="仿宋" w:eastAsia="仿宋" w:cs="Times New Roman"/>
          <w:sz w:val="32"/>
          <w:szCs w:val="32"/>
        </w:rPr>
        <w:t>1739.62</w:t>
      </w:r>
      <w:r>
        <w:rPr>
          <w:rFonts w:ascii="仿宋" w:hAnsi="仿宋" w:eastAsia="仿宋" w:cs="Times New Roman"/>
          <w:sz w:val="32"/>
          <w:szCs w:val="32"/>
        </w:rPr>
        <w:t>万元，较20</w:t>
      </w:r>
      <w:r>
        <w:rPr>
          <w:rFonts w:hint="eastAsia" w:ascii="仿宋" w:hAnsi="仿宋" w:eastAsia="仿宋" w:cs="Times New Roman"/>
          <w:sz w:val="32"/>
          <w:szCs w:val="32"/>
        </w:rPr>
        <w:t>21</w:t>
      </w:r>
      <w:r>
        <w:rPr>
          <w:rFonts w:ascii="仿宋" w:hAnsi="仿宋" w:eastAsia="仿宋" w:cs="Times New Roman"/>
          <w:sz w:val="32"/>
          <w:szCs w:val="32"/>
        </w:rPr>
        <w:t>年预算</w:t>
      </w:r>
      <w:r>
        <w:rPr>
          <w:rFonts w:hint="eastAsia" w:ascii="仿宋" w:hAnsi="仿宋" w:eastAsia="仿宋" w:cs="Times New Roman"/>
          <w:sz w:val="32"/>
          <w:szCs w:val="32"/>
        </w:rPr>
        <w:t>减少150.31</w:t>
      </w:r>
      <w:r>
        <w:rPr>
          <w:rFonts w:ascii="仿宋" w:hAnsi="仿宋" w:eastAsia="仿宋" w:cs="Times New Roman"/>
          <w:sz w:val="32"/>
          <w:szCs w:val="32"/>
        </w:rPr>
        <w:t>万元，其中：基本支出减少</w:t>
      </w:r>
      <w:r>
        <w:rPr>
          <w:rFonts w:hint="eastAsia" w:ascii="仿宋" w:hAnsi="仿宋" w:eastAsia="仿宋" w:cs="Times New Roman"/>
          <w:sz w:val="32"/>
          <w:szCs w:val="32"/>
        </w:rPr>
        <w:t>2.92</w:t>
      </w:r>
      <w:r>
        <w:rPr>
          <w:rFonts w:ascii="仿宋" w:hAnsi="仿宋" w:eastAsia="仿宋" w:cs="Times New Roman"/>
          <w:sz w:val="32"/>
          <w:szCs w:val="32"/>
        </w:rPr>
        <w:t>万元，主要为</w:t>
      </w:r>
      <w:r>
        <w:rPr>
          <w:rFonts w:hint="eastAsia" w:ascii="仿宋" w:hAnsi="仿宋" w:eastAsia="仿宋" w:cs="Times New Roman"/>
          <w:sz w:val="32"/>
          <w:szCs w:val="32"/>
        </w:rPr>
        <w:t>减少人员</w:t>
      </w:r>
      <w:r>
        <w:rPr>
          <w:rFonts w:ascii="仿宋" w:hAnsi="仿宋" w:eastAsia="仿宋" w:cs="Times New Roman"/>
          <w:sz w:val="32"/>
          <w:szCs w:val="32"/>
        </w:rPr>
        <w:t>支出；项目支出减少</w:t>
      </w:r>
      <w:r>
        <w:rPr>
          <w:rFonts w:hint="eastAsia" w:ascii="仿宋" w:hAnsi="仿宋" w:eastAsia="仿宋" w:cs="Times New Roman"/>
          <w:sz w:val="32"/>
          <w:szCs w:val="32"/>
        </w:rPr>
        <w:t>48.5</w:t>
      </w:r>
      <w:r>
        <w:rPr>
          <w:rFonts w:ascii="仿宋" w:hAnsi="仿宋" w:eastAsia="仿宋" w:cs="Times New Roman"/>
          <w:sz w:val="32"/>
          <w:szCs w:val="32"/>
        </w:rPr>
        <w:t>万元，主要为</w:t>
      </w:r>
      <w:r>
        <w:rPr>
          <w:rFonts w:hint="eastAsia" w:ascii="仿宋" w:hAnsi="仿宋" w:eastAsia="仿宋" w:cs="Times New Roman"/>
          <w:sz w:val="32"/>
          <w:szCs w:val="32"/>
        </w:rPr>
        <w:t>创建全国文明县城资金、新时代文明实践中心预算资金减少</w:t>
      </w:r>
      <w:r>
        <w:rPr>
          <w:rFonts w:ascii="仿宋" w:hAnsi="仿宋" w:eastAsia="仿宋"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年，我局机关运行经费共计安排</w:t>
      </w:r>
      <w:r>
        <w:rPr>
          <w:rFonts w:hint="eastAsia" w:ascii="仿宋" w:hAnsi="仿宋" w:eastAsia="仿宋" w:cs="Times New Roman"/>
          <w:sz w:val="32"/>
          <w:szCs w:val="32"/>
        </w:rPr>
        <w:t>50.93</w:t>
      </w:r>
      <w:r>
        <w:rPr>
          <w:rFonts w:ascii="仿宋" w:hAnsi="仿宋" w:eastAsia="仿宋"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707" w:firstLineChars="221"/>
        <w:jc w:val="left"/>
        <w:rPr>
          <w:rFonts w:ascii="黑体" w:hAnsi="黑体" w:eastAsia="黑体" w:cs="Times New Roman"/>
          <w:sz w:val="32"/>
          <w:szCs w:val="32"/>
        </w:rPr>
      </w:pPr>
      <w:r>
        <w:rPr>
          <w:rFonts w:hint="eastAsia" w:ascii="黑体" w:hAnsi="黑体" w:eastAsia="黑体" w:cs="Times New Roman"/>
          <w:sz w:val="32"/>
          <w:szCs w:val="32"/>
        </w:rPr>
        <w:t xml:space="preserve"> </w:t>
      </w:r>
      <w:r>
        <w:rPr>
          <w:rFonts w:ascii="黑体" w:hAnsi="黑体"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年，我局财政拨款“三公”经费预算安排</w:t>
      </w:r>
      <w:r>
        <w:rPr>
          <w:rFonts w:hint="eastAsia" w:ascii="仿宋" w:hAnsi="仿宋" w:eastAsia="仿宋" w:cs="Times New Roman"/>
          <w:sz w:val="32"/>
          <w:szCs w:val="32"/>
        </w:rPr>
        <w:t>5.88</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其中</w:t>
      </w:r>
      <w:r>
        <w:rPr>
          <w:rFonts w:hint="eastAsia" w:ascii="仿宋" w:hAnsi="仿宋" w:eastAsia="仿宋" w:cs="Times New Roman"/>
          <w:sz w:val="32"/>
          <w:szCs w:val="32"/>
        </w:rPr>
        <w:t>，</w:t>
      </w:r>
      <w:r>
        <w:rPr>
          <w:rFonts w:ascii="仿宋" w:hAnsi="仿宋" w:eastAsia="仿宋" w:cs="Times New Roman"/>
          <w:sz w:val="32"/>
          <w:szCs w:val="32"/>
        </w:rPr>
        <w:t>因公出国（境）费</w:t>
      </w:r>
      <w:r>
        <w:rPr>
          <w:rFonts w:hint="eastAsia" w:ascii="仿宋" w:hAnsi="仿宋" w:eastAsia="仿宋" w:cs="Times New Roman"/>
          <w:sz w:val="32"/>
          <w:szCs w:val="32"/>
        </w:rPr>
        <w:t>0</w:t>
      </w:r>
      <w:r>
        <w:rPr>
          <w:rFonts w:ascii="仿宋" w:hAnsi="仿宋" w:eastAsia="仿宋" w:cs="Times New Roman"/>
          <w:sz w:val="32"/>
          <w:szCs w:val="32"/>
        </w:rPr>
        <w:t>万元；公务用车购置及运维费</w:t>
      </w:r>
      <w:r>
        <w:rPr>
          <w:rFonts w:hint="eastAsia" w:ascii="仿宋" w:hAnsi="仿宋" w:eastAsia="仿宋" w:cs="Times New Roman"/>
          <w:sz w:val="32"/>
          <w:szCs w:val="32"/>
        </w:rPr>
        <w:t>5.6</w:t>
      </w:r>
      <w:r>
        <w:rPr>
          <w:rFonts w:ascii="仿宋" w:hAnsi="仿宋" w:eastAsia="仿宋" w:cs="Times New Roman"/>
          <w:sz w:val="32"/>
          <w:szCs w:val="32"/>
        </w:rPr>
        <w:t>万元（其中：公务用车购置费为</w:t>
      </w:r>
      <w:r>
        <w:rPr>
          <w:rFonts w:hint="eastAsia" w:ascii="仿宋" w:hAnsi="仿宋" w:eastAsia="仿宋" w:cs="Times New Roman"/>
          <w:sz w:val="32"/>
          <w:szCs w:val="32"/>
        </w:rPr>
        <w:t>0</w:t>
      </w:r>
      <w:r>
        <w:rPr>
          <w:rFonts w:ascii="仿宋" w:hAnsi="仿宋" w:eastAsia="仿宋" w:cs="Times New Roman"/>
          <w:sz w:val="32"/>
          <w:szCs w:val="32"/>
        </w:rPr>
        <w:t>万元，公务用车运维费</w:t>
      </w:r>
      <w:r>
        <w:rPr>
          <w:rFonts w:hint="eastAsia" w:ascii="仿宋" w:hAnsi="仿宋" w:eastAsia="仿宋" w:cs="Times New Roman"/>
          <w:sz w:val="32"/>
          <w:szCs w:val="32"/>
        </w:rPr>
        <w:t>5.6</w:t>
      </w:r>
      <w:r>
        <w:rPr>
          <w:rFonts w:ascii="仿宋" w:hAnsi="仿宋" w:eastAsia="仿宋" w:cs="Times New Roman"/>
          <w:sz w:val="32"/>
          <w:szCs w:val="32"/>
        </w:rPr>
        <w:t>万元)；公务接待费</w:t>
      </w:r>
      <w:r>
        <w:rPr>
          <w:rFonts w:hint="eastAsia" w:ascii="仿宋" w:hAnsi="仿宋" w:eastAsia="仿宋" w:cs="Times New Roman"/>
          <w:sz w:val="32"/>
          <w:szCs w:val="32"/>
        </w:rPr>
        <w:t>0.28</w:t>
      </w:r>
      <w:r>
        <w:rPr>
          <w:rFonts w:ascii="仿宋" w:hAnsi="仿宋" w:eastAsia="仿宋" w:cs="Times New Roman"/>
          <w:sz w:val="32"/>
          <w:szCs w:val="32"/>
        </w:rPr>
        <w:t>万元。与20</w:t>
      </w:r>
      <w:r>
        <w:rPr>
          <w:rFonts w:hint="eastAsia" w:ascii="仿宋" w:hAnsi="仿宋" w:eastAsia="仿宋" w:cs="Times New Roman"/>
          <w:sz w:val="32"/>
          <w:szCs w:val="32"/>
        </w:rPr>
        <w:t>21</w:t>
      </w:r>
      <w:r>
        <w:rPr>
          <w:rFonts w:ascii="仿宋" w:hAnsi="仿宋" w:eastAsia="仿宋" w:cs="Times New Roman"/>
          <w:sz w:val="32"/>
          <w:szCs w:val="32"/>
        </w:rPr>
        <w:t>年</w:t>
      </w:r>
      <w:r>
        <w:rPr>
          <w:rFonts w:hint="eastAsia" w:ascii="仿宋" w:hAnsi="仿宋" w:eastAsia="仿宋" w:cs="Times New Roman"/>
          <w:sz w:val="32"/>
          <w:szCs w:val="32"/>
        </w:rPr>
        <w:t>相比</w:t>
      </w:r>
      <w:r>
        <w:rPr>
          <w:rFonts w:ascii="仿宋" w:hAnsi="仿宋" w:eastAsia="仿宋" w:cs="Times New Roman"/>
          <w:sz w:val="32"/>
          <w:szCs w:val="32"/>
        </w:rPr>
        <w:t>持平</w:t>
      </w:r>
      <w:r>
        <w:rPr>
          <w:rFonts w:hint="eastAsia" w:ascii="仿宋" w:hAnsi="仿宋" w:eastAsia="仿宋" w:cs="Times New Roman"/>
          <w:sz w:val="32"/>
          <w:szCs w:val="32"/>
        </w:rPr>
        <w:t>，</w:t>
      </w:r>
      <w:r>
        <w:rPr>
          <w:rFonts w:ascii="仿宋" w:hAnsi="仿宋" w:eastAsia="仿宋" w:cs="Times New Roman"/>
          <w:color w:val="000000" w:themeColor="text1"/>
          <w:sz w:val="32"/>
          <w:szCs w:val="32"/>
        </w:rPr>
        <w:t>无增减变化。</w:t>
      </w:r>
    </w:p>
    <w:p>
      <w:pPr>
        <w:spacing w:line="584" w:lineRule="exact"/>
        <w:ind w:firstLine="640" w:firstLineChars="200"/>
        <w:rPr>
          <w:rFonts w:ascii="仿宋_GB2312" w:eastAsia="仿宋_GB2312"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00" w:lineRule="exact"/>
        <w:ind w:firstLine="560"/>
      </w:pPr>
      <w:r>
        <w:rPr>
          <w:rFonts w:ascii="Times New Roman" w:hAnsi="Times New Roman" w:eastAsia="方正仿宋_GBK" w:cs="Times New Roman"/>
          <w:color w:val="000000"/>
          <w:sz w:val="28"/>
        </w:rPr>
        <w:t>（一）总体绩效目标</w:t>
      </w:r>
    </w:p>
    <w:p>
      <w:pPr>
        <w:pStyle w:val="13"/>
      </w:pPr>
      <w:r>
        <w:t>坚持以习近平新时代中国特色社会主义思想为指引，深入学习贯彻党的二十大精神，习近平总书记系列重要讲话精神，</w:t>
      </w:r>
      <w:bookmarkStart w:id="0" w:name="_GoBack"/>
      <w:bookmarkEnd w:id="0"/>
      <w:r>
        <w:t>认真执行《中国共产党宣传工作条例》，结合《2022年宣传思想文化工作要点》，自觉承担“举旗帜、聚民心、育新人、兴文化、展形象”的使命任务，全力做好宣传思想工作，突出培根铸魂、服务大局、价值引领，不断增强宣传工作的时代性、实践性、群众性、引领性和感召力、传播力，努力开创大厂宣传思想文化工作新局面。2022年计划组织开展宣传思想文化工作、理论学习中心组学习工作大于12次；组织“两节”文化活动，夏秋彩色周末活动，文化惠民下乡巡演等文艺活动不少于20场，不断满足群众精神文化需求；通过文化产业引导资金，扶持引导文化产业项目提高文化产业发展的后劲和动力。加大公益广告制作宣传，组织开展群众性精神文明创建、社会主义核心价值观学习宣传、公民道德建设、志愿服务活动等活动大于10次，以优异成绩通过全国文明城市年度测评，进一步提升理论渗透力、舆论引导力、文化创新力、道德感染力、工作执行力，切实推动全市宣传思想工作上档升级。</w:t>
      </w:r>
    </w:p>
    <w:p>
      <w:pPr>
        <w:spacing w:line="500" w:lineRule="exact"/>
        <w:ind w:firstLine="560"/>
      </w:pPr>
      <w:r>
        <w:rPr>
          <w:rFonts w:ascii="Times New Roman" w:hAnsi="Times New Roman" w:eastAsia="方正仿宋_GBK" w:cs="Times New Roman"/>
          <w:color w:val="000000"/>
          <w:sz w:val="28"/>
        </w:rPr>
        <w:t>（二）分项绩效目标</w:t>
      </w:r>
    </w:p>
    <w:p>
      <w:pPr>
        <w:pStyle w:val="14"/>
      </w:pPr>
      <w:r>
        <w:t>（一）深化理论武装工作。</w:t>
      </w:r>
    </w:p>
    <w:p>
      <w:pPr>
        <w:pStyle w:val="14"/>
      </w:pPr>
      <w:r>
        <w:t>绩效目标：坚持用党的创新理论武装头脑、教育人民、指导实践、推动工作，切实做到理论学习求实效，理论宣传求创新，理论研究求突破。聚焦意识形态工作，不断强化制度建设和阵地管理，严格落实意识形态工作党组织主体责任、“一把手”第一责任，强化督导考评，认真抓好党委中心组学习、理论宣传、网络舆情监控和意识形态阵地管控、扫黄打非等基础工作，确保意识形态领域坚不可摧。</w:t>
      </w:r>
    </w:p>
    <w:p>
      <w:pPr>
        <w:pStyle w:val="14"/>
      </w:pPr>
      <w:r>
        <w:t>绩效指标：组织开展宣传思想文化工作、理论学习中心组学习工作大于12次、开展意识形态工作的督查考核等，深化理论武装，发挥意识形态标杆导向作用。深入学习贯彻党的二十大精神，扎实开展好二十大精神阵地宣传工作，用新时代中国特色社会主义思想武装头脑、指导工作。</w:t>
      </w:r>
    </w:p>
    <w:p>
      <w:pPr>
        <w:pStyle w:val="14"/>
      </w:pPr>
      <w:r>
        <w:t>（二）提高舆论引导能力。</w:t>
      </w:r>
    </w:p>
    <w:p>
      <w:pPr>
        <w:pStyle w:val="14"/>
      </w:pPr>
      <w:r>
        <w:t>绩效目标：对内宣传，充分发挥县融媒体中心职能作用，加强工作统筹指导，不断做强做优新闻宣传主业，切实发挥主流舆论阵地作用。对上宣传，围绕学习贯彻党的二十大精神、推动京津冀协同发展、全民服务副中心等中心工作加强新闻采编策划，纵向通联大报大台大网大刊，全力以赴做强对上宣传，为大厂经济社会高质量发展提供有力舆论支持。</w:t>
      </w:r>
    </w:p>
    <w:p>
      <w:pPr>
        <w:pStyle w:val="14"/>
      </w:pPr>
      <w:r>
        <w:t>绩效指标：制作宣传片、特色形象宣传片及时播放，组织相关宣传活动不少于6次，按照各部门工作要求，全方位、多角度开展日常宣传，为打造北京城市副中心后花园，加快建设新时代经济强县、美丽大厂营造良好氛围。</w:t>
      </w:r>
    </w:p>
    <w:p>
      <w:pPr>
        <w:pStyle w:val="14"/>
      </w:pPr>
      <w:r>
        <w:t>（三）丰富群众文化生活。</w:t>
      </w:r>
    </w:p>
    <w:p>
      <w:pPr>
        <w:pStyle w:val="14"/>
      </w:pPr>
      <w:r>
        <w:t>绩效目标：以群众喜闻乐见的文艺形式，采取现场演出、线上播出、云播放、网络课堂等多种方式，广泛开展群众性文化活动，在创新谋划“两节”、夏秋城乡文化活动基础上，重点做好下乡惠民演出和优秀传统文化活动弘扬传播活动。加大文艺作品创作力度，大力弘扬中华优秀传统文化，深入加强影院监督管理，切实做好农村电影放映，不断丰富人民群众精神文化生活。</w:t>
      </w:r>
    </w:p>
    <w:p>
      <w:pPr>
        <w:pStyle w:val="14"/>
      </w:pPr>
      <w:r>
        <w:t>绩效指标：组织“两节”文化活动，夏秋彩色周末活动，文化惠民下乡巡演等文艺活动不少于20场，不断满足群众精神文化需求。组织现代评剧《焦裕禄》巡演活动，激励广大党员干部以焦裕禄同志为榜样，学习和弘扬“亲民爱民、艰苦奋斗、科学求实、迎难而上、无私奉献”的焦裕禄精神。通过文化产业引导资金，扶持引导15个以上文化产业项目提高文化产业发展的后劲和动力。切实做好农村电影放映工作为105个行政村每月放映1场电影。</w:t>
      </w:r>
    </w:p>
    <w:p>
      <w:pPr>
        <w:pStyle w:val="14"/>
      </w:pPr>
      <w:r>
        <w:t>（四）加强精神文明建设。</w:t>
      </w:r>
    </w:p>
    <w:p>
      <w:pPr>
        <w:pStyle w:val="14"/>
      </w:pPr>
      <w:r>
        <w:t>绩效目标：继续高标准开展全国文明城市创建工作，进一步巩固提升创建成果，推动创建工作制度化、规范化、常态化，努力把规范管理内化为行为自觉，确保顺利通过年度复检；围绕文明城市、文明单位、文明社区、文明村镇、文明校园、文明家庭等创建活动加强顶层设计、丰富活动内涵，推动精神文明创建往深里走、往实里走。主动适应全媒体时代群众的精神文化需求，全面激活各类宣传思想文化阵地，有力推动融媒体中心与新时代文明实践中心相互借力、相互贯通，探索构建共享、共融、共促的融合发展格局。绩效指标：加大公益广告制作宣传，组织开展群众性精神文明创建、社会主义核心价值观学习宣传、公民道德建设、志愿服务活动等活动大于10次。慰问生活困难“身边好人”，开展“身边好人”现场交流活动，给“身边好人”一次性资金奖励，在全县树立起道德标杆，并且礼遇身边好人，在全社会营造好人有好报的浓厚氛围，在全县掀起“学习好人，争当好人”热潮。完成2022年农家书屋出版物配备更新工作；根据上级要求开展“新时代乡村阅读季”工作；加强农家书屋日常建设管理和使用。</w:t>
      </w:r>
    </w:p>
    <w:p>
      <w:pPr>
        <w:pStyle w:val="14"/>
      </w:pPr>
      <w:r>
        <w:t>（五）强化党风廉政建设。</w:t>
      </w:r>
    </w:p>
    <w:p>
      <w:pPr>
        <w:pStyle w:val="14"/>
      </w:pPr>
      <w:r>
        <w:t>绩效目标：进一步坚定全面从严治党的信心和决心，以更严的要求保障更好的作风。严格落实中央“八项规定”及实施细则要求，严防“四风”问题，营造风情气正的干事环境。培育廉政文化，开展廉政主题党日活动，用典型案例教育警示引导党员干部职工遵守纪律、防微杜渐，通过集中学习、讨论交流等形式，使干部职工树立正确的权力观和利益观，提升党员干部廉洁意识，全力维护党风廉政建设的健康发展，构筑反腐防变的警戒线。持之以恒加强作风建设，严格落实“一岗双责”，强化管党治党政治责任，主要负责同志认真履行第一责任人责任，班子成员认真履行“一岗双责”，做好党风廉政工作。</w:t>
      </w:r>
    </w:p>
    <w:p>
      <w:pPr>
        <w:pStyle w:val="14"/>
      </w:pPr>
      <w:r>
        <w:t>（六）聚焦干部能力建设。强化创新意识和创新思维，持续锤炼践行“四力”，切实提高宣传思想文化干部的本领能力素质，打造一支政治过硬、本领高强、求实创新、能打胜仗的宣传思想文化队伍，推动宣传思想文化工作创新提升，为自治县发展提供有力思想保证和强大精神力量，推动大厂宣传思想文化工作再上新台阶.</w:t>
      </w:r>
    </w:p>
    <w:p>
      <w:pPr>
        <w:spacing w:line="500" w:lineRule="exact"/>
        <w:ind w:firstLine="560"/>
      </w:pPr>
      <w:r>
        <w:rPr>
          <w:rFonts w:ascii="Times New Roman" w:hAnsi="Times New Roman" w:eastAsia="方正仿宋_GBK" w:cs="Times New Roman"/>
          <w:color w:val="000000"/>
          <w:sz w:val="28"/>
        </w:rPr>
        <w:t>（三）工作保障措施</w:t>
      </w:r>
    </w:p>
    <w:p>
      <w:pPr>
        <w:pStyle w:val="15"/>
      </w:pPr>
      <w:r>
        <w:t>(一）以强化主体责任为根本，严格落实意识形态工作责任制，围绕党管意识形态的原则，牢牢把握意识形态工作领导权和主导权。落实意识形态工作领导责任，健全工作机制，加强督导检查，推进意识形态工作落实到位。</w:t>
      </w:r>
    </w:p>
    <w:p>
      <w:pPr>
        <w:pStyle w:val="15"/>
      </w:pPr>
      <w:r>
        <w:t>（二）以学习贯彻党的二十大精神为职责，深入推进理论武装工作开展，深入学习习近平新时代中国特色社会主义思想和党的二十大精神，在各级党组织中组织开展集中学习、交流研讨，提升广大党员干部理论水平和工作能力。</w:t>
      </w:r>
    </w:p>
    <w:p>
      <w:pPr>
        <w:pStyle w:val="15"/>
      </w:pPr>
      <w:r>
        <w:t>（三）以中央、省、市级主流媒体为主阵地，加强新闻选题策划，深入基层挖掘新闻线索，不断推出有影响的重头报道，为开拓“商务大厂”新天地做出积极贡献。全力做好重点报刊征订发行工作。</w:t>
      </w:r>
    </w:p>
    <w:p>
      <w:pPr>
        <w:pStyle w:val="15"/>
      </w:pPr>
      <w:r>
        <w:t>（四）以群众喜闻乐见的文艺形式，采取现场演出、线上播出、云播放、网络课堂等多种方式，广泛开展群众性文化活动，在创新谋划“两节”、夏秋城乡文化活动基础上，重点做好下乡惠民演出和优秀传统文化活动弘扬传播活动。加大文艺作品创作力度，大力弘扬中华优秀传统文化，深入加强影院监督管理，切实做好农村电影放映，不断丰富人民群众精神文化生活。坚持日常监管和定期检查，以重大节日为主要节点，组织开展全县文化、出版物市场扫黄打非集中治理活动，全面净化社会文化环境。</w:t>
      </w:r>
    </w:p>
    <w:p>
      <w:pPr>
        <w:pStyle w:val="15"/>
      </w:pPr>
      <w:r>
        <w:t>（五）以建设社会主义核心价值体系为统揽，深入推进公民道德建设，持续开展道德模范巡讲活动；广泛动员并引领全县各志愿服务组织及志愿者开展系列志愿服务活动，促进志愿服务规范化、制度化、常态化。</w:t>
      </w:r>
    </w:p>
    <w:p>
      <w:pPr>
        <w:pStyle w:val="15"/>
      </w:pPr>
      <w:r>
        <w:t>（六）以改进和优化工作作风为动力，全面提升宣传文化队伍整体素质进一步加强班子建设、队伍建设和制度建设，深化理论中心组学习，推进党风廉政建设，在服务全县发展大局和重点工作的实践中锤炼队伍，提高干部队伍的凝聚力、战斗力和向心力。认真抓好宣传信息、奥情信息、动态信息的报送工作。</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（四）部门整体支出绩效指标</w:t>
      </w:r>
    </w:p>
    <w:tbl>
      <w:tblPr>
        <w:tblStyle w:val="8"/>
        <w:tblW w:w="14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2597"/>
        <w:gridCol w:w="5103"/>
        <w:gridCol w:w="3119"/>
        <w:gridCol w:w="567"/>
        <w:gridCol w:w="567"/>
        <w:gridCol w:w="567"/>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25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510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311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701"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99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2597" w:type="dxa"/>
            <w:vMerge w:val="continue"/>
            <w:tcBorders>
              <w:tl2br w:val="nil"/>
              <w:tr2bl w:val="nil"/>
            </w:tcBorders>
            <w:vAlign w:val="center"/>
          </w:tcPr>
          <w:p/>
        </w:tc>
        <w:tc>
          <w:tcPr>
            <w:tcW w:w="5103" w:type="dxa"/>
            <w:vMerge w:val="continue"/>
            <w:tcBorders>
              <w:tl2br w:val="nil"/>
              <w:tr2bl w:val="nil"/>
            </w:tcBorders>
            <w:vAlign w:val="center"/>
          </w:tcPr>
          <w:p/>
        </w:tc>
        <w:tc>
          <w:tcPr>
            <w:tcW w:w="3119" w:type="dxa"/>
            <w:vMerge w:val="continue"/>
            <w:tcBorders>
              <w:tl2br w:val="nil"/>
              <w:tr2bl w:val="nil"/>
            </w:tcBorders>
            <w:vAlign w:val="center"/>
          </w:tcPr>
          <w:p/>
        </w:tc>
        <w:tc>
          <w:tcPr>
            <w:tcW w:w="567"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567"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67"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992"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trPr>
        <w:tc>
          <w:tcPr>
            <w:tcW w:w="558" w:type="dxa"/>
            <w:vMerge w:val="restart"/>
            <w:tcBorders>
              <w:tl2br w:val="nil"/>
              <w:tr2bl w:val="nil"/>
            </w:tcBorders>
            <w:vAlign w:val="center"/>
          </w:tcPr>
          <w:p>
            <w:pPr>
              <w:widowControl/>
              <w:adjustRightInd w:val="0"/>
              <w:snapToGrid w:val="0"/>
              <w:jc w:val="center"/>
              <w:rPr>
                <w:rFonts w:ascii="方正书宋_GBK" w:eastAsiaTheme="minorEastAsia"/>
              </w:rPr>
            </w:pPr>
          </w:p>
          <w:p>
            <w:pPr>
              <w:widowControl/>
              <w:adjustRightInd w:val="0"/>
              <w:snapToGrid w:val="0"/>
              <w:jc w:val="center"/>
              <w:rPr>
                <w:rFonts w:ascii="方正书宋_GBK" w:eastAsia="方正书宋_GBK"/>
              </w:rPr>
            </w:pPr>
            <w:r>
              <w:rPr>
                <w:rFonts w:ascii="方正书宋_GBK" w:eastAsia="方正书宋_GBK"/>
              </w:rPr>
              <w:t>部门产出</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2597" w:type="dxa"/>
            <w:tcBorders>
              <w:tl2br w:val="nil"/>
              <w:tr2bl w:val="nil"/>
            </w:tcBorders>
            <w:vAlign w:val="center"/>
          </w:tcPr>
          <w:p>
            <w:pPr>
              <w:rPr>
                <w:rFonts w:ascii="宋体" w:hAnsi="宋体" w:cs="宋体"/>
                <w:sz w:val="18"/>
                <w:szCs w:val="18"/>
              </w:rPr>
            </w:pPr>
            <w:r>
              <w:rPr>
                <w:rFonts w:hint="eastAsia"/>
                <w:sz w:val="18"/>
                <w:szCs w:val="18"/>
              </w:rPr>
              <w:t>理论学习会议次数</w:t>
            </w:r>
          </w:p>
        </w:tc>
        <w:tc>
          <w:tcPr>
            <w:tcW w:w="5103" w:type="dxa"/>
            <w:tcBorders>
              <w:tl2br w:val="nil"/>
              <w:tr2bl w:val="nil"/>
            </w:tcBorders>
            <w:vAlign w:val="center"/>
          </w:tcPr>
          <w:p>
            <w:pPr>
              <w:rPr>
                <w:rFonts w:ascii="宋体" w:hAnsi="宋体" w:cs="宋体"/>
                <w:sz w:val="18"/>
                <w:szCs w:val="18"/>
              </w:rPr>
            </w:pPr>
            <w:r>
              <w:rPr>
                <w:rFonts w:hint="eastAsia"/>
                <w:sz w:val="18"/>
                <w:szCs w:val="18"/>
              </w:rPr>
              <w:t>达到指标目标值得满分；达到80%目标值以上得50%权重分；低于80%目标值不得分</w:t>
            </w:r>
          </w:p>
        </w:tc>
        <w:tc>
          <w:tcPr>
            <w:tcW w:w="3119" w:type="dxa"/>
            <w:tcBorders>
              <w:tl2br w:val="nil"/>
              <w:tr2bl w:val="nil"/>
            </w:tcBorders>
          </w:tcPr>
          <w:p>
            <w:pPr>
              <w:rPr>
                <w:rFonts w:ascii="宋体" w:hAnsi="宋体" w:cs="宋体"/>
                <w:sz w:val="18"/>
                <w:szCs w:val="18"/>
              </w:rPr>
            </w:pPr>
            <w:r>
              <w:rPr>
                <w:rFonts w:hint="eastAsia"/>
                <w:sz w:val="18"/>
                <w:szCs w:val="18"/>
              </w:rPr>
              <w:t>组织理论学习会议场次</w:t>
            </w:r>
          </w:p>
        </w:tc>
        <w:tc>
          <w:tcPr>
            <w:tcW w:w="567" w:type="dxa"/>
            <w:tcBorders>
              <w:tl2br w:val="nil"/>
              <w:tr2bl w:val="nil"/>
            </w:tcBorders>
            <w:vAlign w:val="center"/>
          </w:tcPr>
          <w:p>
            <w:pPr>
              <w:rPr>
                <w:rFonts w:ascii="宋体" w:hAnsi="宋体" w:cs="宋体"/>
                <w:sz w:val="18"/>
                <w:szCs w:val="18"/>
              </w:rPr>
            </w:pPr>
            <w:r>
              <w:rPr>
                <w:rFonts w:hint="eastAsia"/>
                <w:sz w:val="18"/>
                <w:szCs w:val="18"/>
              </w:rPr>
              <w:t>≥</w:t>
            </w:r>
          </w:p>
        </w:tc>
        <w:tc>
          <w:tcPr>
            <w:tcW w:w="567" w:type="dxa"/>
            <w:tcBorders>
              <w:tl2br w:val="nil"/>
              <w:tr2bl w:val="nil"/>
            </w:tcBorders>
            <w:vAlign w:val="center"/>
          </w:tcPr>
          <w:p>
            <w:pPr>
              <w:rPr>
                <w:rFonts w:ascii="仿宋_GB2312" w:hAnsi="宋体" w:eastAsia="仿宋_GB2312" w:cs="宋体"/>
                <w:sz w:val="20"/>
                <w:szCs w:val="20"/>
              </w:rPr>
            </w:pPr>
            <w:r>
              <w:rPr>
                <w:rFonts w:hint="eastAsia" w:ascii="仿宋_GB2312" w:eastAsia="仿宋_GB2312"/>
                <w:sz w:val="20"/>
                <w:szCs w:val="20"/>
              </w:rPr>
              <w:t>12</w:t>
            </w:r>
          </w:p>
        </w:tc>
        <w:tc>
          <w:tcPr>
            <w:tcW w:w="567" w:type="dxa"/>
            <w:tcBorders>
              <w:tl2br w:val="nil"/>
              <w:tr2bl w:val="nil"/>
            </w:tcBorders>
            <w:vAlign w:val="center"/>
          </w:tcPr>
          <w:p>
            <w:pPr>
              <w:rPr>
                <w:rFonts w:ascii="仿宋_GB2312" w:hAnsi="宋体" w:eastAsia="仿宋_GB2312" w:cs="宋体"/>
                <w:sz w:val="20"/>
                <w:szCs w:val="20"/>
              </w:rPr>
            </w:pPr>
            <w:r>
              <w:rPr>
                <w:rFonts w:hint="eastAsia" w:ascii="仿宋_GB2312" w:eastAsia="仿宋_GB2312"/>
                <w:sz w:val="20"/>
                <w:szCs w:val="20"/>
              </w:rPr>
              <w:t>次</w:t>
            </w:r>
          </w:p>
        </w:tc>
        <w:tc>
          <w:tcPr>
            <w:tcW w:w="992" w:type="dxa"/>
            <w:tcBorders>
              <w:tl2br w:val="nil"/>
              <w:tr2bl w:val="nil"/>
            </w:tcBorders>
            <w:vAlign w:val="center"/>
          </w:tcPr>
          <w:p>
            <w:pPr>
              <w:rPr>
                <w:rFonts w:ascii="宋体" w:hAnsi="宋体" w:cs="宋体"/>
                <w:sz w:val="18"/>
                <w:szCs w:val="18"/>
              </w:rPr>
            </w:pPr>
            <w:r>
              <w:rPr>
                <w:rFonts w:hint="eastAsia"/>
                <w:sz w:val="18"/>
                <w:szCs w:val="18"/>
              </w:rPr>
              <w:t>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2597" w:type="dxa"/>
            <w:tcBorders>
              <w:tl2br w:val="nil"/>
              <w:tr2bl w:val="nil"/>
            </w:tcBorders>
            <w:vAlign w:val="center"/>
          </w:tcPr>
          <w:p>
            <w:pPr>
              <w:rPr>
                <w:rFonts w:ascii="宋体" w:hAnsi="宋体" w:cs="宋体"/>
                <w:sz w:val="18"/>
                <w:szCs w:val="18"/>
              </w:rPr>
            </w:pPr>
            <w:r>
              <w:rPr>
                <w:rFonts w:hint="eastAsia"/>
                <w:sz w:val="18"/>
                <w:szCs w:val="18"/>
              </w:rPr>
              <w:t>党的二十大宣传</w:t>
            </w:r>
          </w:p>
        </w:tc>
        <w:tc>
          <w:tcPr>
            <w:tcW w:w="5103" w:type="dxa"/>
            <w:tcBorders>
              <w:tl2br w:val="nil"/>
              <w:tr2bl w:val="nil"/>
            </w:tcBorders>
            <w:vAlign w:val="center"/>
          </w:tcPr>
          <w:p>
            <w:pPr>
              <w:rPr>
                <w:rFonts w:ascii="宋体" w:hAnsi="宋体" w:cs="宋体"/>
                <w:sz w:val="18"/>
                <w:szCs w:val="18"/>
              </w:rPr>
            </w:pPr>
            <w:r>
              <w:rPr>
                <w:rFonts w:hint="eastAsia"/>
                <w:sz w:val="18"/>
                <w:szCs w:val="18"/>
              </w:rPr>
              <w:t>达到指标目标值得满分；达到80%目标值以上得50%权重分；低于80%目标值不得分</w:t>
            </w:r>
          </w:p>
        </w:tc>
        <w:tc>
          <w:tcPr>
            <w:tcW w:w="3119" w:type="dxa"/>
            <w:tcBorders>
              <w:tl2br w:val="nil"/>
              <w:tr2bl w:val="nil"/>
            </w:tcBorders>
          </w:tcPr>
          <w:p>
            <w:pPr>
              <w:rPr>
                <w:rFonts w:ascii="宋体" w:hAnsi="宋体" w:cs="宋体"/>
                <w:sz w:val="18"/>
                <w:szCs w:val="18"/>
              </w:rPr>
            </w:pPr>
            <w:r>
              <w:rPr>
                <w:rFonts w:hint="eastAsia"/>
                <w:sz w:val="18"/>
                <w:szCs w:val="18"/>
              </w:rPr>
              <w:t>组织理论学习相关会议场次</w:t>
            </w:r>
          </w:p>
        </w:tc>
        <w:tc>
          <w:tcPr>
            <w:tcW w:w="567" w:type="dxa"/>
            <w:tcBorders>
              <w:tl2br w:val="nil"/>
              <w:tr2bl w:val="nil"/>
            </w:tcBorders>
            <w:vAlign w:val="center"/>
          </w:tcPr>
          <w:p>
            <w:pPr>
              <w:rPr>
                <w:rFonts w:ascii="宋体" w:hAnsi="宋体" w:cs="宋体"/>
                <w:sz w:val="18"/>
                <w:szCs w:val="18"/>
              </w:rPr>
            </w:pPr>
            <w:r>
              <w:rPr>
                <w:rFonts w:hint="eastAsia"/>
                <w:sz w:val="18"/>
                <w:szCs w:val="18"/>
              </w:rPr>
              <w:t>≥</w:t>
            </w:r>
          </w:p>
        </w:tc>
        <w:tc>
          <w:tcPr>
            <w:tcW w:w="567" w:type="dxa"/>
            <w:tcBorders>
              <w:tl2br w:val="nil"/>
              <w:tr2bl w:val="nil"/>
            </w:tcBorders>
            <w:vAlign w:val="center"/>
          </w:tcPr>
          <w:p>
            <w:pPr>
              <w:rPr>
                <w:rFonts w:ascii="仿宋_GB2312" w:hAnsi="宋体" w:eastAsia="仿宋_GB2312" w:cs="宋体"/>
                <w:sz w:val="20"/>
                <w:szCs w:val="20"/>
              </w:rPr>
            </w:pPr>
            <w:r>
              <w:rPr>
                <w:rFonts w:hint="eastAsia" w:ascii="仿宋_GB2312" w:eastAsia="仿宋_GB2312"/>
                <w:sz w:val="20"/>
                <w:szCs w:val="20"/>
              </w:rPr>
              <w:t>12</w:t>
            </w:r>
          </w:p>
        </w:tc>
        <w:tc>
          <w:tcPr>
            <w:tcW w:w="567" w:type="dxa"/>
            <w:tcBorders>
              <w:tl2br w:val="nil"/>
              <w:tr2bl w:val="nil"/>
            </w:tcBorders>
            <w:vAlign w:val="center"/>
          </w:tcPr>
          <w:p>
            <w:pPr>
              <w:rPr>
                <w:rFonts w:ascii="仿宋_GB2312" w:hAnsi="宋体" w:eastAsia="仿宋_GB2312" w:cs="宋体"/>
                <w:sz w:val="20"/>
                <w:szCs w:val="20"/>
              </w:rPr>
            </w:pPr>
            <w:r>
              <w:rPr>
                <w:rFonts w:hint="eastAsia" w:ascii="仿宋_GB2312" w:eastAsia="仿宋_GB2312"/>
                <w:sz w:val="20"/>
                <w:szCs w:val="20"/>
              </w:rPr>
              <w:t>次</w:t>
            </w:r>
          </w:p>
        </w:tc>
        <w:tc>
          <w:tcPr>
            <w:tcW w:w="992" w:type="dxa"/>
            <w:tcBorders>
              <w:tl2br w:val="nil"/>
              <w:tr2bl w:val="nil"/>
            </w:tcBorders>
            <w:vAlign w:val="center"/>
          </w:tcPr>
          <w:p>
            <w:pPr>
              <w:rPr>
                <w:rFonts w:ascii="宋体" w:hAnsi="宋体" w:cs="宋体"/>
                <w:sz w:val="18"/>
                <w:szCs w:val="18"/>
              </w:rPr>
            </w:pPr>
            <w:r>
              <w:rPr>
                <w:rFonts w:hint="eastAsia"/>
                <w:sz w:val="18"/>
                <w:szCs w:val="18"/>
              </w:rPr>
              <w:t>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2597" w:type="dxa"/>
            <w:tcBorders>
              <w:tl2br w:val="nil"/>
              <w:tr2bl w:val="nil"/>
            </w:tcBorders>
            <w:vAlign w:val="center"/>
          </w:tcPr>
          <w:p>
            <w:pPr>
              <w:rPr>
                <w:rFonts w:ascii="宋体" w:hAnsi="宋体" w:cs="宋体"/>
                <w:sz w:val="18"/>
                <w:szCs w:val="18"/>
              </w:rPr>
            </w:pPr>
            <w:r>
              <w:rPr>
                <w:rFonts w:hint="eastAsia"/>
                <w:sz w:val="18"/>
                <w:szCs w:val="18"/>
              </w:rPr>
              <w:t>创建文明城市宣传活动</w:t>
            </w:r>
          </w:p>
        </w:tc>
        <w:tc>
          <w:tcPr>
            <w:tcW w:w="5103" w:type="dxa"/>
            <w:tcBorders>
              <w:tl2br w:val="nil"/>
              <w:tr2bl w:val="nil"/>
            </w:tcBorders>
            <w:vAlign w:val="center"/>
          </w:tcPr>
          <w:p>
            <w:pPr>
              <w:rPr>
                <w:rFonts w:ascii="宋体" w:hAnsi="宋体" w:cs="宋体"/>
                <w:sz w:val="18"/>
                <w:szCs w:val="18"/>
              </w:rPr>
            </w:pPr>
            <w:r>
              <w:rPr>
                <w:rFonts w:hint="eastAsia"/>
                <w:sz w:val="18"/>
                <w:szCs w:val="18"/>
              </w:rPr>
              <w:t>达到指标目标值得满分；达到80%目标值以上得50%权重分；低于80%目标值不得分</w:t>
            </w:r>
          </w:p>
        </w:tc>
        <w:tc>
          <w:tcPr>
            <w:tcW w:w="3119" w:type="dxa"/>
            <w:tcBorders>
              <w:tl2br w:val="nil"/>
              <w:tr2bl w:val="nil"/>
            </w:tcBorders>
          </w:tcPr>
          <w:p>
            <w:pPr>
              <w:rPr>
                <w:rFonts w:ascii="宋体" w:hAnsi="宋体" w:cs="宋体"/>
                <w:sz w:val="18"/>
                <w:szCs w:val="18"/>
              </w:rPr>
            </w:pPr>
            <w:r>
              <w:rPr>
                <w:rFonts w:hint="eastAsia"/>
                <w:sz w:val="18"/>
                <w:szCs w:val="18"/>
              </w:rPr>
              <w:t>组织创建文明城市宣传活动次数</w:t>
            </w:r>
          </w:p>
        </w:tc>
        <w:tc>
          <w:tcPr>
            <w:tcW w:w="567" w:type="dxa"/>
            <w:tcBorders>
              <w:tl2br w:val="nil"/>
              <w:tr2bl w:val="nil"/>
            </w:tcBorders>
            <w:vAlign w:val="center"/>
          </w:tcPr>
          <w:p>
            <w:pPr>
              <w:rPr>
                <w:rFonts w:ascii="宋体" w:hAnsi="宋体" w:cs="宋体"/>
                <w:sz w:val="18"/>
                <w:szCs w:val="18"/>
              </w:rPr>
            </w:pPr>
            <w:r>
              <w:rPr>
                <w:rFonts w:hint="eastAsia"/>
                <w:sz w:val="18"/>
                <w:szCs w:val="18"/>
              </w:rPr>
              <w:t>≥</w:t>
            </w:r>
          </w:p>
        </w:tc>
        <w:tc>
          <w:tcPr>
            <w:tcW w:w="567" w:type="dxa"/>
            <w:tcBorders>
              <w:tl2br w:val="nil"/>
              <w:tr2bl w:val="nil"/>
            </w:tcBorders>
            <w:vAlign w:val="center"/>
          </w:tcPr>
          <w:p>
            <w:pPr>
              <w:rPr>
                <w:rFonts w:ascii="宋体" w:hAnsi="宋体" w:cs="宋体"/>
                <w:sz w:val="18"/>
                <w:szCs w:val="18"/>
              </w:rPr>
            </w:pPr>
            <w:r>
              <w:rPr>
                <w:rFonts w:hint="eastAsia"/>
                <w:sz w:val="18"/>
                <w:szCs w:val="18"/>
              </w:rPr>
              <w:t>10.00</w:t>
            </w:r>
          </w:p>
        </w:tc>
        <w:tc>
          <w:tcPr>
            <w:tcW w:w="567" w:type="dxa"/>
            <w:tcBorders>
              <w:tl2br w:val="nil"/>
              <w:tr2bl w:val="nil"/>
            </w:tcBorders>
            <w:vAlign w:val="center"/>
          </w:tcPr>
          <w:p>
            <w:pPr>
              <w:rPr>
                <w:rFonts w:ascii="宋体" w:hAnsi="宋体" w:cs="宋体"/>
                <w:sz w:val="18"/>
                <w:szCs w:val="18"/>
              </w:rPr>
            </w:pPr>
            <w:r>
              <w:rPr>
                <w:rFonts w:hint="eastAsia"/>
                <w:sz w:val="18"/>
                <w:szCs w:val="18"/>
              </w:rPr>
              <w:t>次</w:t>
            </w:r>
          </w:p>
        </w:tc>
        <w:tc>
          <w:tcPr>
            <w:tcW w:w="992" w:type="dxa"/>
            <w:tcBorders>
              <w:tl2br w:val="nil"/>
              <w:tr2bl w:val="nil"/>
            </w:tcBorders>
            <w:vAlign w:val="center"/>
          </w:tcPr>
          <w:p>
            <w:pPr>
              <w:rPr>
                <w:rFonts w:ascii="宋体" w:hAnsi="宋体" w:cs="宋体"/>
                <w:sz w:val="18"/>
                <w:szCs w:val="18"/>
              </w:rPr>
            </w:pPr>
            <w:r>
              <w:rPr>
                <w:rFonts w:hint="eastAsia"/>
                <w:sz w:val="18"/>
                <w:szCs w:val="18"/>
              </w:rPr>
              <w:t>项目计划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2597" w:type="dxa"/>
            <w:tcBorders>
              <w:tl2br w:val="nil"/>
              <w:tr2bl w:val="nil"/>
            </w:tcBorders>
            <w:vAlign w:val="center"/>
          </w:tcPr>
          <w:p>
            <w:pPr>
              <w:rPr>
                <w:rFonts w:ascii="宋体" w:hAnsi="宋体" w:cs="宋体"/>
                <w:sz w:val="18"/>
                <w:szCs w:val="18"/>
              </w:rPr>
            </w:pPr>
            <w:r>
              <w:rPr>
                <w:rFonts w:hint="eastAsia"/>
                <w:sz w:val="18"/>
                <w:szCs w:val="18"/>
              </w:rPr>
              <w:t>对内外宣传活动</w:t>
            </w:r>
          </w:p>
        </w:tc>
        <w:tc>
          <w:tcPr>
            <w:tcW w:w="5103" w:type="dxa"/>
            <w:tcBorders>
              <w:tl2br w:val="nil"/>
              <w:tr2bl w:val="nil"/>
            </w:tcBorders>
            <w:vAlign w:val="center"/>
          </w:tcPr>
          <w:p>
            <w:pPr>
              <w:rPr>
                <w:rFonts w:ascii="宋体" w:hAnsi="宋体" w:cs="宋体"/>
                <w:sz w:val="18"/>
                <w:szCs w:val="18"/>
              </w:rPr>
            </w:pPr>
            <w:r>
              <w:rPr>
                <w:rFonts w:hint="eastAsia"/>
                <w:sz w:val="18"/>
                <w:szCs w:val="18"/>
              </w:rPr>
              <w:t>达到指标目标值得满分；达到80%目标值以上得50%权重分；低于80%目标值不得分</w:t>
            </w:r>
          </w:p>
        </w:tc>
        <w:tc>
          <w:tcPr>
            <w:tcW w:w="3119" w:type="dxa"/>
            <w:tcBorders>
              <w:tl2br w:val="nil"/>
              <w:tr2bl w:val="nil"/>
            </w:tcBorders>
          </w:tcPr>
          <w:p>
            <w:pPr>
              <w:rPr>
                <w:rFonts w:ascii="宋体" w:hAnsi="宋体" w:cs="宋体"/>
                <w:sz w:val="18"/>
                <w:szCs w:val="18"/>
              </w:rPr>
            </w:pPr>
            <w:r>
              <w:rPr>
                <w:rFonts w:hint="eastAsia"/>
                <w:sz w:val="18"/>
                <w:szCs w:val="18"/>
              </w:rPr>
              <w:t>组织各类社会宣传活动次数</w:t>
            </w:r>
          </w:p>
        </w:tc>
        <w:tc>
          <w:tcPr>
            <w:tcW w:w="567" w:type="dxa"/>
            <w:tcBorders>
              <w:tl2br w:val="nil"/>
              <w:tr2bl w:val="nil"/>
            </w:tcBorders>
            <w:vAlign w:val="center"/>
          </w:tcPr>
          <w:p>
            <w:pPr>
              <w:rPr>
                <w:rFonts w:ascii="宋体" w:hAnsi="宋体" w:cs="宋体"/>
                <w:sz w:val="18"/>
                <w:szCs w:val="18"/>
              </w:rPr>
            </w:pPr>
            <w:r>
              <w:rPr>
                <w:rFonts w:hint="eastAsia"/>
                <w:sz w:val="18"/>
                <w:szCs w:val="18"/>
              </w:rPr>
              <w:t>≥</w:t>
            </w:r>
          </w:p>
        </w:tc>
        <w:tc>
          <w:tcPr>
            <w:tcW w:w="567" w:type="dxa"/>
            <w:tcBorders>
              <w:tl2br w:val="nil"/>
              <w:tr2bl w:val="nil"/>
            </w:tcBorders>
            <w:vAlign w:val="center"/>
          </w:tcPr>
          <w:p>
            <w:pPr>
              <w:rPr>
                <w:rFonts w:ascii="宋体" w:hAnsi="宋体" w:cs="宋体"/>
                <w:sz w:val="18"/>
                <w:szCs w:val="18"/>
              </w:rPr>
            </w:pPr>
            <w:r>
              <w:rPr>
                <w:rFonts w:hint="eastAsia"/>
                <w:sz w:val="18"/>
                <w:szCs w:val="18"/>
              </w:rPr>
              <w:t>6.00</w:t>
            </w:r>
          </w:p>
        </w:tc>
        <w:tc>
          <w:tcPr>
            <w:tcW w:w="567" w:type="dxa"/>
            <w:tcBorders>
              <w:tl2br w:val="nil"/>
              <w:tr2bl w:val="nil"/>
            </w:tcBorders>
            <w:vAlign w:val="center"/>
          </w:tcPr>
          <w:p>
            <w:pPr>
              <w:rPr>
                <w:rFonts w:ascii="宋体" w:hAnsi="宋体" w:cs="宋体"/>
                <w:sz w:val="18"/>
                <w:szCs w:val="18"/>
              </w:rPr>
            </w:pPr>
            <w:r>
              <w:rPr>
                <w:rFonts w:hint="eastAsia"/>
                <w:sz w:val="18"/>
                <w:szCs w:val="18"/>
              </w:rPr>
              <w:t>次</w:t>
            </w:r>
          </w:p>
        </w:tc>
        <w:tc>
          <w:tcPr>
            <w:tcW w:w="992" w:type="dxa"/>
            <w:tcBorders>
              <w:tl2br w:val="nil"/>
              <w:tr2bl w:val="nil"/>
            </w:tcBorders>
            <w:vAlign w:val="center"/>
          </w:tcPr>
          <w:p>
            <w:pPr>
              <w:rPr>
                <w:rFonts w:ascii="宋体" w:hAnsi="宋体" w:cs="宋体"/>
                <w:sz w:val="18"/>
                <w:szCs w:val="18"/>
              </w:rPr>
            </w:pPr>
            <w:r>
              <w:rPr>
                <w:rFonts w:hint="eastAsia"/>
                <w:sz w:val="18"/>
                <w:szCs w:val="18"/>
              </w:rPr>
              <w:t>往年数据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2597" w:type="dxa"/>
            <w:tcBorders>
              <w:tl2br w:val="nil"/>
              <w:tr2bl w:val="nil"/>
            </w:tcBorders>
            <w:vAlign w:val="center"/>
          </w:tcPr>
          <w:p>
            <w:pPr>
              <w:rPr>
                <w:rFonts w:ascii="宋体" w:hAnsi="宋体" w:cs="宋体"/>
                <w:sz w:val="18"/>
                <w:szCs w:val="18"/>
              </w:rPr>
            </w:pPr>
            <w:r>
              <w:rPr>
                <w:rFonts w:hint="eastAsia"/>
                <w:sz w:val="18"/>
                <w:szCs w:val="18"/>
              </w:rPr>
              <w:t>党报党刊订阅量</w:t>
            </w:r>
          </w:p>
        </w:tc>
        <w:tc>
          <w:tcPr>
            <w:tcW w:w="5103" w:type="dxa"/>
            <w:tcBorders>
              <w:tl2br w:val="nil"/>
              <w:tr2bl w:val="nil"/>
            </w:tcBorders>
            <w:vAlign w:val="center"/>
          </w:tcPr>
          <w:p>
            <w:pPr>
              <w:rPr>
                <w:rFonts w:ascii="宋体" w:hAnsi="宋体" w:cs="宋体"/>
                <w:sz w:val="18"/>
                <w:szCs w:val="18"/>
              </w:rPr>
            </w:pPr>
            <w:r>
              <w:rPr>
                <w:rFonts w:hint="eastAsia"/>
                <w:sz w:val="18"/>
                <w:szCs w:val="18"/>
              </w:rPr>
              <w:t>订阅量达到2500份以上得满分,2500份以下本指标不得分</w:t>
            </w:r>
          </w:p>
        </w:tc>
        <w:tc>
          <w:tcPr>
            <w:tcW w:w="3119" w:type="dxa"/>
            <w:tcBorders>
              <w:tl2br w:val="nil"/>
              <w:tr2bl w:val="nil"/>
            </w:tcBorders>
          </w:tcPr>
          <w:p>
            <w:pPr>
              <w:rPr>
                <w:rFonts w:ascii="宋体" w:hAnsi="宋体" w:cs="宋体"/>
                <w:sz w:val="18"/>
                <w:szCs w:val="18"/>
              </w:rPr>
            </w:pPr>
            <w:r>
              <w:rPr>
                <w:rFonts w:hint="eastAsia"/>
                <w:sz w:val="18"/>
                <w:szCs w:val="18"/>
              </w:rPr>
              <w:t>党报党刊订阅量</w:t>
            </w:r>
          </w:p>
        </w:tc>
        <w:tc>
          <w:tcPr>
            <w:tcW w:w="567" w:type="dxa"/>
            <w:tcBorders>
              <w:tl2br w:val="nil"/>
              <w:tr2bl w:val="nil"/>
            </w:tcBorders>
            <w:vAlign w:val="center"/>
          </w:tcPr>
          <w:p>
            <w:pPr>
              <w:rPr>
                <w:rFonts w:ascii="宋体" w:hAnsi="宋体" w:cs="宋体"/>
                <w:sz w:val="18"/>
                <w:szCs w:val="18"/>
              </w:rPr>
            </w:pPr>
            <w:r>
              <w:rPr>
                <w:rFonts w:hint="eastAsia"/>
                <w:sz w:val="18"/>
                <w:szCs w:val="18"/>
              </w:rPr>
              <w:t>≥</w:t>
            </w:r>
          </w:p>
        </w:tc>
        <w:tc>
          <w:tcPr>
            <w:tcW w:w="567" w:type="dxa"/>
            <w:tcBorders>
              <w:tl2br w:val="nil"/>
              <w:tr2bl w:val="nil"/>
            </w:tcBorders>
            <w:vAlign w:val="center"/>
          </w:tcPr>
          <w:p>
            <w:pPr>
              <w:rPr>
                <w:rFonts w:ascii="宋体" w:hAnsi="宋体" w:cs="宋体"/>
                <w:sz w:val="18"/>
                <w:szCs w:val="18"/>
              </w:rPr>
            </w:pPr>
            <w:r>
              <w:rPr>
                <w:rFonts w:hint="eastAsia"/>
                <w:sz w:val="18"/>
                <w:szCs w:val="18"/>
              </w:rPr>
              <w:t>2500.00</w:t>
            </w:r>
          </w:p>
        </w:tc>
        <w:tc>
          <w:tcPr>
            <w:tcW w:w="567" w:type="dxa"/>
            <w:tcBorders>
              <w:tl2br w:val="nil"/>
              <w:tr2bl w:val="nil"/>
            </w:tcBorders>
            <w:vAlign w:val="center"/>
          </w:tcPr>
          <w:p>
            <w:pPr>
              <w:rPr>
                <w:rFonts w:ascii="宋体" w:hAnsi="宋体" w:cs="宋体"/>
                <w:sz w:val="18"/>
                <w:szCs w:val="18"/>
              </w:rPr>
            </w:pPr>
            <w:r>
              <w:rPr>
                <w:rFonts w:hint="eastAsia"/>
                <w:sz w:val="18"/>
                <w:szCs w:val="18"/>
              </w:rPr>
              <w:t>份</w:t>
            </w:r>
          </w:p>
        </w:tc>
        <w:tc>
          <w:tcPr>
            <w:tcW w:w="992" w:type="dxa"/>
            <w:tcBorders>
              <w:tl2br w:val="nil"/>
              <w:tr2bl w:val="nil"/>
            </w:tcBorders>
            <w:vAlign w:val="center"/>
          </w:tcPr>
          <w:p>
            <w:pPr>
              <w:rPr>
                <w:rFonts w:ascii="宋体" w:hAnsi="宋体" w:cs="宋体"/>
                <w:sz w:val="18"/>
                <w:szCs w:val="18"/>
              </w:rPr>
            </w:pPr>
            <w:r>
              <w:rPr>
                <w:rFonts w:hint="eastAsia"/>
                <w:sz w:val="18"/>
                <w:szCs w:val="18"/>
              </w:rPr>
              <w:t>历史值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2597" w:type="dxa"/>
            <w:tcBorders>
              <w:tl2br w:val="nil"/>
              <w:tr2bl w:val="nil"/>
            </w:tcBorders>
            <w:vAlign w:val="center"/>
          </w:tcPr>
          <w:p>
            <w:pPr>
              <w:rPr>
                <w:rFonts w:ascii="宋体" w:hAnsi="宋体" w:cs="宋体"/>
                <w:sz w:val="18"/>
                <w:szCs w:val="18"/>
              </w:rPr>
            </w:pPr>
            <w:r>
              <w:rPr>
                <w:rFonts w:hint="eastAsia"/>
                <w:sz w:val="18"/>
                <w:szCs w:val="18"/>
              </w:rPr>
              <w:t>现场交流活动</w:t>
            </w:r>
          </w:p>
        </w:tc>
        <w:tc>
          <w:tcPr>
            <w:tcW w:w="5103" w:type="dxa"/>
            <w:tcBorders>
              <w:tl2br w:val="nil"/>
              <w:tr2bl w:val="nil"/>
            </w:tcBorders>
            <w:vAlign w:val="center"/>
          </w:tcPr>
          <w:p>
            <w:pPr>
              <w:rPr>
                <w:rFonts w:ascii="宋体" w:hAnsi="宋体" w:cs="宋体"/>
                <w:sz w:val="18"/>
                <w:szCs w:val="18"/>
              </w:rPr>
            </w:pPr>
            <w:r>
              <w:rPr>
                <w:rFonts w:hint="eastAsia"/>
                <w:sz w:val="18"/>
                <w:szCs w:val="18"/>
              </w:rPr>
              <w:t>完成活动场次得满分，否则本指标不得分</w:t>
            </w:r>
          </w:p>
        </w:tc>
        <w:tc>
          <w:tcPr>
            <w:tcW w:w="3119" w:type="dxa"/>
            <w:tcBorders>
              <w:tl2br w:val="nil"/>
              <w:tr2bl w:val="nil"/>
            </w:tcBorders>
          </w:tcPr>
          <w:p>
            <w:pPr>
              <w:rPr>
                <w:rFonts w:ascii="宋体" w:hAnsi="宋体" w:cs="宋体"/>
                <w:sz w:val="18"/>
                <w:szCs w:val="18"/>
              </w:rPr>
            </w:pPr>
            <w:r>
              <w:rPr>
                <w:rFonts w:hint="eastAsia"/>
                <w:sz w:val="18"/>
                <w:szCs w:val="18"/>
              </w:rPr>
              <w:t>举行“身边好人”现场交流活动场次</w:t>
            </w:r>
          </w:p>
        </w:tc>
        <w:tc>
          <w:tcPr>
            <w:tcW w:w="567" w:type="dxa"/>
            <w:tcBorders>
              <w:tl2br w:val="nil"/>
              <w:tr2bl w:val="nil"/>
            </w:tcBorders>
            <w:vAlign w:val="center"/>
          </w:tcPr>
          <w:p>
            <w:pPr>
              <w:rPr>
                <w:rFonts w:ascii="宋体" w:hAnsi="宋体" w:cs="宋体"/>
                <w:sz w:val="18"/>
                <w:szCs w:val="18"/>
              </w:rPr>
            </w:pPr>
            <w:r>
              <w:rPr>
                <w:rFonts w:hint="eastAsia"/>
                <w:sz w:val="18"/>
                <w:szCs w:val="18"/>
              </w:rPr>
              <w:t>≥</w:t>
            </w:r>
          </w:p>
        </w:tc>
        <w:tc>
          <w:tcPr>
            <w:tcW w:w="567" w:type="dxa"/>
            <w:tcBorders>
              <w:tl2br w:val="nil"/>
              <w:tr2bl w:val="nil"/>
            </w:tcBorders>
            <w:vAlign w:val="center"/>
          </w:tcPr>
          <w:p>
            <w:pPr>
              <w:rPr>
                <w:rFonts w:ascii="仿宋_GB2312" w:hAnsi="宋体" w:eastAsia="仿宋_GB2312" w:cs="宋体"/>
                <w:sz w:val="20"/>
                <w:szCs w:val="20"/>
              </w:rPr>
            </w:pPr>
            <w:r>
              <w:rPr>
                <w:rFonts w:hint="eastAsia" w:ascii="仿宋_GB2312" w:eastAsia="仿宋_GB2312"/>
                <w:sz w:val="20"/>
                <w:szCs w:val="20"/>
              </w:rPr>
              <w:t>1</w:t>
            </w:r>
          </w:p>
        </w:tc>
        <w:tc>
          <w:tcPr>
            <w:tcW w:w="567" w:type="dxa"/>
            <w:tcBorders>
              <w:tl2br w:val="nil"/>
              <w:tr2bl w:val="nil"/>
            </w:tcBorders>
            <w:vAlign w:val="center"/>
          </w:tcPr>
          <w:p>
            <w:pPr>
              <w:rPr>
                <w:rFonts w:ascii="仿宋_GB2312" w:hAnsi="宋体" w:eastAsia="仿宋_GB2312" w:cs="宋体"/>
                <w:sz w:val="20"/>
                <w:szCs w:val="20"/>
              </w:rPr>
            </w:pPr>
            <w:r>
              <w:rPr>
                <w:rFonts w:hint="eastAsia" w:ascii="仿宋_GB2312" w:eastAsia="仿宋_GB2312"/>
                <w:sz w:val="20"/>
                <w:szCs w:val="20"/>
              </w:rPr>
              <w:t>场</w:t>
            </w:r>
          </w:p>
        </w:tc>
        <w:tc>
          <w:tcPr>
            <w:tcW w:w="992" w:type="dxa"/>
            <w:tcBorders>
              <w:tl2br w:val="nil"/>
              <w:tr2bl w:val="nil"/>
            </w:tcBorders>
            <w:vAlign w:val="center"/>
          </w:tcPr>
          <w:p>
            <w:pPr>
              <w:rPr>
                <w:rFonts w:ascii="宋体" w:hAnsi="宋体" w:cs="宋体"/>
                <w:sz w:val="18"/>
                <w:szCs w:val="18"/>
              </w:rPr>
            </w:pPr>
            <w:r>
              <w:rPr>
                <w:rFonts w:hint="eastAsia"/>
                <w:sz w:val="18"/>
                <w:szCs w:val="18"/>
              </w:rPr>
              <w:t>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2597" w:type="dxa"/>
            <w:tcBorders>
              <w:tl2br w:val="nil"/>
              <w:tr2bl w:val="nil"/>
            </w:tcBorders>
            <w:vAlign w:val="center"/>
          </w:tcPr>
          <w:p>
            <w:pPr>
              <w:rPr>
                <w:rFonts w:ascii="宋体" w:hAnsi="宋体" w:cs="宋体"/>
                <w:sz w:val="18"/>
                <w:szCs w:val="18"/>
              </w:rPr>
            </w:pPr>
            <w:r>
              <w:rPr>
                <w:rFonts w:hint="eastAsia"/>
                <w:sz w:val="18"/>
                <w:szCs w:val="18"/>
              </w:rPr>
              <w:t>农村电影放映场次</w:t>
            </w:r>
          </w:p>
        </w:tc>
        <w:tc>
          <w:tcPr>
            <w:tcW w:w="5103" w:type="dxa"/>
            <w:tcBorders>
              <w:tl2br w:val="nil"/>
              <w:tr2bl w:val="nil"/>
            </w:tcBorders>
            <w:vAlign w:val="center"/>
          </w:tcPr>
          <w:p>
            <w:pPr>
              <w:rPr>
                <w:rFonts w:ascii="宋体" w:hAnsi="宋体" w:cs="宋体"/>
                <w:sz w:val="18"/>
                <w:szCs w:val="18"/>
              </w:rPr>
            </w:pPr>
            <w:r>
              <w:rPr>
                <w:rFonts w:hint="eastAsia"/>
                <w:sz w:val="18"/>
                <w:szCs w:val="18"/>
              </w:rPr>
              <w:t>达到指标目标值，得满分；达到80%目标值以上得50%权重分；低于80%目标值不得分</w:t>
            </w:r>
          </w:p>
        </w:tc>
        <w:tc>
          <w:tcPr>
            <w:tcW w:w="3119" w:type="dxa"/>
            <w:tcBorders>
              <w:tl2br w:val="nil"/>
              <w:tr2bl w:val="nil"/>
            </w:tcBorders>
          </w:tcPr>
          <w:p>
            <w:pPr>
              <w:rPr>
                <w:rFonts w:ascii="宋体" w:hAnsi="宋体" w:cs="宋体"/>
                <w:sz w:val="18"/>
                <w:szCs w:val="18"/>
              </w:rPr>
            </w:pPr>
            <w:r>
              <w:rPr>
                <w:rFonts w:hint="eastAsia"/>
                <w:sz w:val="18"/>
                <w:szCs w:val="18"/>
              </w:rPr>
              <w:t>每个行政村月度放映电影场次</w:t>
            </w:r>
          </w:p>
        </w:tc>
        <w:tc>
          <w:tcPr>
            <w:tcW w:w="567" w:type="dxa"/>
            <w:tcBorders>
              <w:tl2br w:val="nil"/>
              <w:tr2bl w:val="nil"/>
            </w:tcBorders>
            <w:vAlign w:val="center"/>
          </w:tcPr>
          <w:p>
            <w:pPr>
              <w:rPr>
                <w:rFonts w:ascii="仿宋_GB2312" w:hAnsi="宋体" w:eastAsia="仿宋_GB2312" w:cs="宋体"/>
                <w:sz w:val="24"/>
                <w:szCs w:val="24"/>
              </w:rPr>
            </w:pPr>
            <w:r>
              <w:rPr>
                <w:rFonts w:hint="eastAsia" w:ascii="仿宋_GB2312" w:eastAsia="仿宋_GB2312"/>
              </w:rPr>
              <w:t>≥</w:t>
            </w:r>
          </w:p>
        </w:tc>
        <w:tc>
          <w:tcPr>
            <w:tcW w:w="567" w:type="dxa"/>
            <w:tcBorders>
              <w:tl2br w:val="nil"/>
              <w:tr2bl w:val="nil"/>
            </w:tcBorders>
            <w:vAlign w:val="center"/>
          </w:tcPr>
          <w:p>
            <w:pPr>
              <w:jc w:val="center"/>
              <w:rPr>
                <w:rFonts w:ascii="仿宋_GB2312" w:hAnsi="宋体" w:eastAsia="仿宋_GB2312" w:cs="宋体"/>
                <w:sz w:val="24"/>
                <w:szCs w:val="24"/>
              </w:rPr>
            </w:pPr>
            <w:r>
              <w:rPr>
                <w:rFonts w:hint="eastAsia" w:ascii="仿宋_GB2312" w:eastAsia="仿宋_GB2312"/>
              </w:rPr>
              <w:t>1</w:t>
            </w:r>
          </w:p>
        </w:tc>
        <w:tc>
          <w:tcPr>
            <w:tcW w:w="567" w:type="dxa"/>
            <w:tcBorders>
              <w:tl2br w:val="nil"/>
              <w:tr2bl w:val="nil"/>
            </w:tcBorders>
            <w:vAlign w:val="center"/>
          </w:tcPr>
          <w:p>
            <w:pPr>
              <w:jc w:val="center"/>
              <w:rPr>
                <w:rFonts w:ascii="仿宋_GB2312" w:hAnsi="宋体" w:eastAsia="仿宋_GB2312" w:cs="宋体"/>
                <w:sz w:val="24"/>
                <w:szCs w:val="24"/>
              </w:rPr>
            </w:pPr>
            <w:r>
              <w:rPr>
                <w:rFonts w:hint="eastAsia" w:ascii="仿宋_GB2312" w:eastAsia="仿宋_GB2312"/>
              </w:rPr>
              <w:t>场</w:t>
            </w:r>
          </w:p>
        </w:tc>
        <w:tc>
          <w:tcPr>
            <w:tcW w:w="992" w:type="dxa"/>
            <w:tcBorders>
              <w:tl2br w:val="nil"/>
              <w:tr2bl w:val="nil"/>
            </w:tcBorders>
            <w:vAlign w:val="center"/>
          </w:tcPr>
          <w:p>
            <w:pPr>
              <w:rPr>
                <w:rFonts w:ascii="宋体" w:hAnsi="宋体" w:cs="宋体"/>
                <w:color w:val="000000"/>
                <w:sz w:val="22"/>
              </w:rPr>
            </w:pPr>
            <w:r>
              <w:rPr>
                <w:rFonts w:hint="eastAsia"/>
                <w:color w:val="000000"/>
                <w:sz w:val="22"/>
              </w:rPr>
              <w:t>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2597" w:type="dxa"/>
            <w:tcBorders>
              <w:tl2br w:val="nil"/>
              <w:tr2bl w:val="nil"/>
            </w:tcBorders>
            <w:vAlign w:val="center"/>
          </w:tcPr>
          <w:p>
            <w:pPr>
              <w:rPr>
                <w:rFonts w:ascii="宋体" w:hAnsi="宋体" w:cs="宋体"/>
                <w:sz w:val="18"/>
                <w:szCs w:val="18"/>
              </w:rPr>
            </w:pPr>
            <w:r>
              <w:rPr>
                <w:rFonts w:hint="eastAsia"/>
                <w:sz w:val="18"/>
                <w:szCs w:val="18"/>
              </w:rPr>
              <w:t>农家书屋覆盖村街数量</w:t>
            </w:r>
          </w:p>
        </w:tc>
        <w:tc>
          <w:tcPr>
            <w:tcW w:w="5103" w:type="dxa"/>
            <w:tcBorders>
              <w:tl2br w:val="nil"/>
              <w:tr2bl w:val="nil"/>
            </w:tcBorders>
            <w:vAlign w:val="center"/>
          </w:tcPr>
          <w:p>
            <w:pPr>
              <w:rPr>
                <w:rFonts w:ascii="宋体" w:hAnsi="宋体" w:cs="宋体"/>
                <w:sz w:val="18"/>
                <w:szCs w:val="18"/>
              </w:rPr>
            </w:pPr>
            <w:r>
              <w:rPr>
                <w:rFonts w:hint="eastAsia"/>
                <w:sz w:val="18"/>
                <w:szCs w:val="18"/>
              </w:rPr>
              <w:t>覆盖率达100%得满分，否则不得分</w:t>
            </w:r>
          </w:p>
        </w:tc>
        <w:tc>
          <w:tcPr>
            <w:tcW w:w="3119" w:type="dxa"/>
            <w:tcBorders>
              <w:tl2br w:val="nil"/>
              <w:tr2bl w:val="nil"/>
            </w:tcBorders>
          </w:tcPr>
          <w:p>
            <w:pPr>
              <w:rPr>
                <w:rFonts w:ascii="宋体" w:hAnsi="宋体" w:cs="宋体"/>
                <w:sz w:val="18"/>
                <w:szCs w:val="18"/>
              </w:rPr>
            </w:pPr>
            <w:r>
              <w:rPr>
                <w:rFonts w:hint="eastAsia"/>
                <w:sz w:val="18"/>
                <w:szCs w:val="18"/>
              </w:rPr>
              <w:t>农家书屋覆盖村街数量情况</w:t>
            </w:r>
          </w:p>
        </w:tc>
        <w:tc>
          <w:tcPr>
            <w:tcW w:w="567" w:type="dxa"/>
            <w:tcBorders>
              <w:tl2br w:val="nil"/>
              <w:tr2bl w:val="nil"/>
            </w:tcBorders>
            <w:vAlign w:val="center"/>
          </w:tcPr>
          <w:p>
            <w:pPr>
              <w:rPr>
                <w:rFonts w:ascii="宋体" w:hAnsi="宋体" w:cs="宋体"/>
                <w:sz w:val="18"/>
                <w:szCs w:val="18"/>
              </w:rPr>
            </w:pPr>
            <w:r>
              <w:rPr>
                <w:rFonts w:hint="eastAsia"/>
                <w:sz w:val="18"/>
                <w:szCs w:val="18"/>
              </w:rPr>
              <w:t>≥</w:t>
            </w:r>
          </w:p>
        </w:tc>
        <w:tc>
          <w:tcPr>
            <w:tcW w:w="567" w:type="dxa"/>
            <w:tcBorders>
              <w:tl2br w:val="nil"/>
              <w:tr2bl w:val="nil"/>
            </w:tcBorders>
            <w:vAlign w:val="center"/>
          </w:tcPr>
          <w:p>
            <w:pPr>
              <w:rPr>
                <w:rFonts w:ascii="仿宋_GB2312" w:hAnsi="宋体" w:eastAsia="仿宋_GB2312" w:cs="宋体"/>
                <w:sz w:val="20"/>
                <w:szCs w:val="20"/>
              </w:rPr>
            </w:pPr>
            <w:r>
              <w:rPr>
                <w:rFonts w:hint="eastAsia" w:ascii="仿宋_GB2312" w:eastAsia="仿宋_GB2312"/>
                <w:sz w:val="20"/>
                <w:szCs w:val="20"/>
              </w:rPr>
              <w:t>105</w:t>
            </w:r>
          </w:p>
        </w:tc>
        <w:tc>
          <w:tcPr>
            <w:tcW w:w="567" w:type="dxa"/>
            <w:tcBorders>
              <w:tl2br w:val="nil"/>
              <w:tr2bl w:val="nil"/>
            </w:tcBorders>
            <w:vAlign w:val="center"/>
          </w:tcPr>
          <w:p>
            <w:pPr>
              <w:rPr>
                <w:rFonts w:ascii="仿宋_GB2312" w:hAnsi="宋体" w:eastAsia="仿宋_GB2312" w:cs="宋体"/>
                <w:sz w:val="20"/>
                <w:szCs w:val="20"/>
              </w:rPr>
            </w:pPr>
            <w:r>
              <w:rPr>
                <w:rFonts w:hint="eastAsia" w:ascii="仿宋_GB2312" w:eastAsia="仿宋_GB2312"/>
                <w:sz w:val="20"/>
                <w:szCs w:val="20"/>
              </w:rPr>
              <w:t>村</w:t>
            </w:r>
          </w:p>
        </w:tc>
        <w:tc>
          <w:tcPr>
            <w:tcW w:w="992" w:type="dxa"/>
            <w:tcBorders>
              <w:tl2br w:val="nil"/>
              <w:tr2bl w:val="nil"/>
            </w:tcBorders>
            <w:vAlign w:val="center"/>
          </w:tcPr>
          <w:p>
            <w:pPr>
              <w:rPr>
                <w:rFonts w:ascii="宋体" w:hAnsi="宋体" w:cs="宋体"/>
                <w:sz w:val="18"/>
                <w:szCs w:val="18"/>
              </w:rPr>
            </w:pPr>
            <w:r>
              <w:rPr>
                <w:rFonts w:hint="eastAsia"/>
                <w:sz w:val="18"/>
                <w:szCs w:val="18"/>
              </w:rPr>
              <w:t>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2597" w:type="dxa"/>
            <w:tcBorders>
              <w:tl2br w:val="nil"/>
              <w:tr2bl w:val="nil"/>
            </w:tcBorders>
            <w:vAlign w:val="center"/>
          </w:tcPr>
          <w:p>
            <w:pPr>
              <w:rPr>
                <w:rFonts w:ascii="宋体" w:hAnsi="宋体" w:cs="宋体"/>
                <w:sz w:val="18"/>
                <w:szCs w:val="18"/>
              </w:rPr>
            </w:pPr>
            <w:r>
              <w:rPr>
                <w:rFonts w:hint="eastAsia"/>
                <w:sz w:val="18"/>
                <w:szCs w:val="18"/>
              </w:rPr>
              <w:t>文化产业引导资金奖励企业数量</w:t>
            </w:r>
          </w:p>
        </w:tc>
        <w:tc>
          <w:tcPr>
            <w:tcW w:w="5103" w:type="dxa"/>
            <w:tcBorders>
              <w:tl2br w:val="nil"/>
              <w:tr2bl w:val="nil"/>
            </w:tcBorders>
            <w:vAlign w:val="center"/>
          </w:tcPr>
          <w:p>
            <w:pPr>
              <w:rPr>
                <w:rFonts w:ascii="宋体" w:hAnsi="宋体" w:cs="宋体"/>
                <w:sz w:val="18"/>
                <w:szCs w:val="18"/>
              </w:rPr>
            </w:pPr>
            <w:r>
              <w:rPr>
                <w:rFonts w:hint="eastAsia"/>
                <w:sz w:val="18"/>
                <w:szCs w:val="18"/>
              </w:rPr>
              <w:t>达到指标目标值得满分；达到80%目标值以上得50%权重分；低于80%目标值不得分</w:t>
            </w:r>
          </w:p>
        </w:tc>
        <w:tc>
          <w:tcPr>
            <w:tcW w:w="3119" w:type="dxa"/>
            <w:tcBorders>
              <w:tl2br w:val="nil"/>
              <w:tr2bl w:val="nil"/>
            </w:tcBorders>
          </w:tcPr>
          <w:p>
            <w:pPr>
              <w:rPr>
                <w:rFonts w:ascii="宋体" w:hAnsi="宋体" w:cs="宋体"/>
                <w:sz w:val="18"/>
                <w:szCs w:val="18"/>
              </w:rPr>
            </w:pPr>
            <w:r>
              <w:rPr>
                <w:rFonts w:hint="eastAsia"/>
                <w:sz w:val="18"/>
                <w:szCs w:val="18"/>
              </w:rPr>
              <w:t>奖励企业数量</w:t>
            </w:r>
          </w:p>
        </w:tc>
        <w:tc>
          <w:tcPr>
            <w:tcW w:w="567" w:type="dxa"/>
            <w:tcBorders>
              <w:tl2br w:val="nil"/>
              <w:tr2bl w:val="nil"/>
            </w:tcBorders>
            <w:vAlign w:val="center"/>
          </w:tcPr>
          <w:p>
            <w:pPr>
              <w:rPr>
                <w:rFonts w:ascii="宋体" w:hAnsi="宋体" w:cs="宋体"/>
                <w:sz w:val="18"/>
                <w:szCs w:val="18"/>
              </w:rPr>
            </w:pPr>
            <w:r>
              <w:rPr>
                <w:rFonts w:hint="eastAsia"/>
                <w:sz w:val="18"/>
                <w:szCs w:val="18"/>
              </w:rPr>
              <w:t>=</w:t>
            </w:r>
          </w:p>
        </w:tc>
        <w:tc>
          <w:tcPr>
            <w:tcW w:w="567" w:type="dxa"/>
            <w:tcBorders>
              <w:tl2br w:val="nil"/>
              <w:tr2bl w:val="nil"/>
            </w:tcBorders>
            <w:vAlign w:val="center"/>
          </w:tcPr>
          <w:p>
            <w:pPr>
              <w:rPr>
                <w:rFonts w:ascii="仿宋_GB2312" w:hAnsi="宋体" w:eastAsia="仿宋_GB2312" w:cs="宋体"/>
                <w:sz w:val="20"/>
                <w:szCs w:val="20"/>
              </w:rPr>
            </w:pPr>
            <w:r>
              <w:rPr>
                <w:rFonts w:hint="eastAsia" w:ascii="仿宋_GB2312" w:eastAsia="仿宋_GB2312"/>
                <w:sz w:val="20"/>
                <w:szCs w:val="20"/>
              </w:rPr>
              <w:t>100</w:t>
            </w:r>
          </w:p>
        </w:tc>
        <w:tc>
          <w:tcPr>
            <w:tcW w:w="567" w:type="dxa"/>
            <w:tcBorders>
              <w:tl2br w:val="nil"/>
              <w:tr2bl w:val="nil"/>
            </w:tcBorders>
            <w:vAlign w:val="center"/>
          </w:tcPr>
          <w:p>
            <w:pPr>
              <w:rPr>
                <w:rFonts w:ascii="仿宋_GB2312" w:hAnsi="宋体" w:eastAsia="仿宋_GB2312" w:cs="宋体"/>
                <w:sz w:val="20"/>
                <w:szCs w:val="20"/>
              </w:rPr>
            </w:pPr>
            <w:r>
              <w:rPr>
                <w:rFonts w:hint="eastAsia" w:ascii="仿宋_GB2312" w:eastAsia="仿宋_GB2312"/>
                <w:sz w:val="20"/>
                <w:szCs w:val="20"/>
              </w:rPr>
              <w:t>%</w:t>
            </w:r>
          </w:p>
        </w:tc>
        <w:tc>
          <w:tcPr>
            <w:tcW w:w="992" w:type="dxa"/>
            <w:tcBorders>
              <w:tl2br w:val="nil"/>
              <w:tr2bl w:val="nil"/>
            </w:tcBorders>
            <w:vAlign w:val="center"/>
          </w:tcPr>
          <w:p>
            <w:pPr>
              <w:rPr>
                <w:rFonts w:ascii="仿宋_GB2312" w:hAnsi="宋体" w:eastAsia="仿宋_GB2312" w:cs="宋体"/>
                <w:sz w:val="20"/>
                <w:szCs w:val="20"/>
              </w:rPr>
            </w:pPr>
            <w:r>
              <w:rPr>
                <w:rFonts w:hint="eastAsia" w:ascii="仿宋_GB2312" w:eastAsia="仿宋_GB2312"/>
                <w:sz w:val="20"/>
                <w:szCs w:val="20"/>
              </w:rPr>
              <w:t>往年数据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2597" w:type="dxa"/>
            <w:tcBorders>
              <w:tl2br w:val="nil"/>
              <w:tr2bl w:val="nil"/>
            </w:tcBorders>
            <w:vAlign w:val="center"/>
          </w:tcPr>
          <w:p>
            <w:pPr>
              <w:rPr>
                <w:rFonts w:ascii="宋体" w:hAnsi="宋体" w:cs="宋体"/>
                <w:sz w:val="18"/>
                <w:szCs w:val="18"/>
              </w:rPr>
            </w:pPr>
            <w:r>
              <w:rPr>
                <w:rFonts w:hint="eastAsia"/>
                <w:sz w:val="18"/>
                <w:szCs w:val="18"/>
              </w:rPr>
              <w:t>《焦裕禄》巡演活动参观人数</w:t>
            </w:r>
          </w:p>
        </w:tc>
        <w:tc>
          <w:tcPr>
            <w:tcW w:w="5103" w:type="dxa"/>
            <w:tcBorders>
              <w:tl2br w:val="nil"/>
              <w:tr2bl w:val="nil"/>
            </w:tcBorders>
            <w:vAlign w:val="center"/>
          </w:tcPr>
          <w:p>
            <w:pPr>
              <w:rPr>
                <w:rFonts w:ascii="宋体" w:hAnsi="宋体" w:cs="宋体"/>
                <w:sz w:val="18"/>
                <w:szCs w:val="18"/>
              </w:rPr>
            </w:pPr>
            <w:r>
              <w:rPr>
                <w:rFonts w:hint="eastAsia"/>
                <w:sz w:val="18"/>
                <w:szCs w:val="18"/>
              </w:rPr>
              <w:t>达到指标目标值得满分；达到80%目标值以上得50%权重分；低于80%目标值不得分</w:t>
            </w:r>
          </w:p>
        </w:tc>
        <w:tc>
          <w:tcPr>
            <w:tcW w:w="3119" w:type="dxa"/>
            <w:tcBorders>
              <w:tl2br w:val="nil"/>
              <w:tr2bl w:val="nil"/>
            </w:tcBorders>
          </w:tcPr>
          <w:p>
            <w:pPr>
              <w:rPr>
                <w:rFonts w:ascii="宋体" w:hAnsi="宋体" w:cs="宋体"/>
                <w:sz w:val="18"/>
                <w:szCs w:val="18"/>
              </w:rPr>
            </w:pPr>
            <w:r>
              <w:rPr>
                <w:rFonts w:hint="eastAsia"/>
                <w:sz w:val="18"/>
                <w:szCs w:val="18"/>
              </w:rPr>
              <w:t>组织参观人数</w:t>
            </w:r>
          </w:p>
        </w:tc>
        <w:tc>
          <w:tcPr>
            <w:tcW w:w="567" w:type="dxa"/>
            <w:tcBorders>
              <w:tl2br w:val="nil"/>
              <w:tr2bl w:val="nil"/>
            </w:tcBorders>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567" w:type="dxa"/>
            <w:tcBorders>
              <w:tl2br w:val="nil"/>
              <w:tr2bl w:val="nil"/>
            </w:tcBorders>
            <w:vAlign w:val="center"/>
          </w:tcPr>
          <w:p>
            <w:pPr>
              <w:jc w:val="center"/>
              <w:rPr>
                <w:rFonts w:ascii="仿宋_GB2312" w:hAnsi="宋体" w:eastAsia="仿宋_GB2312" w:cs="宋体"/>
                <w:sz w:val="20"/>
                <w:szCs w:val="20"/>
              </w:rPr>
            </w:pPr>
            <w:r>
              <w:rPr>
                <w:rFonts w:hint="eastAsia" w:ascii="仿宋_GB2312" w:eastAsia="仿宋_GB2312"/>
                <w:sz w:val="20"/>
                <w:szCs w:val="20"/>
              </w:rPr>
              <w:t>350</w:t>
            </w:r>
          </w:p>
        </w:tc>
        <w:tc>
          <w:tcPr>
            <w:tcW w:w="567" w:type="dxa"/>
            <w:tcBorders>
              <w:tl2br w:val="nil"/>
              <w:tr2bl w:val="nil"/>
            </w:tcBorders>
            <w:vAlign w:val="center"/>
          </w:tcPr>
          <w:p>
            <w:pPr>
              <w:jc w:val="center"/>
              <w:rPr>
                <w:rFonts w:ascii="仿宋_GB2312" w:hAnsi="宋体" w:eastAsia="仿宋_GB2312" w:cs="宋体"/>
                <w:sz w:val="20"/>
                <w:szCs w:val="20"/>
              </w:rPr>
            </w:pPr>
            <w:r>
              <w:rPr>
                <w:rFonts w:hint="eastAsia" w:ascii="仿宋_GB2312" w:eastAsia="仿宋_GB2312"/>
                <w:sz w:val="20"/>
                <w:szCs w:val="20"/>
              </w:rPr>
              <w:t>人</w:t>
            </w:r>
          </w:p>
        </w:tc>
        <w:tc>
          <w:tcPr>
            <w:tcW w:w="992" w:type="dxa"/>
            <w:tcBorders>
              <w:tl2br w:val="nil"/>
              <w:tr2bl w:val="nil"/>
            </w:tcBorders>
            <w:vAlign w:val="center"/>
          </w:tcPr>
          <w:p>
            <w:pPr>
              <w:jc w:val="center"/>
              <w:rPr>
                <w:rFonts w:ascii="仿宋_GB2312" w:hAnsi="宋体" w:eastAsia="仿宋_GB2312" w:cs="宋体"/>
                <w:sz w:val="20"/>
                <w:szCs w:val="20"/>
              </w:rPr>
            </w:pPr>
            <w:r>
              <w:rPr>
                <w:rFonts w:hint="eastAsia" w:ascii="仿宋_GB2312" w:eastAsia="仿宋_GB2312"/>
                <w:sz w:val="20"/>
                <w:szCs w:val="20"/>
              </w:rPr>
              <w:t>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2597" w:type="dxa"/>
            <w:tcBorders>
              <w:tl2br w:val="nil"/>
              <w:tr2bl w:val="nil"/>
            </w:tcBorders>
            <w:vAlign w:val="center"/>
          </w:tcPr>
          <w:p>
            <w:pPr>
              <w:rPr>
                <w:rFonts w:ascii="宋体" w:hAnsi="宋体" w:cs="宋体"/>
                <w:sz w:val="18"/>
                <w:szCs w:val="18"/>
              </w:rPr>
            </w:pPr>
            <w:r>
              <w:rPr>
                <w:rFonts w:hint="eastAsia"/>
                <w:sz w:val="18"/>
                <w:szCs w:val="18"/>
              </w:rPr>
              <w:t>开展文艺活动场次</w:t>
            </w:r>
          </w:p>
        </w:tc>
        <w:tc>
          <w:tcPr>
            <w:tcW w:w="5103" w:type="dxa"/>
            <w:tcBorders>
              <w:tl2br w:val="nil"/>
              <w:tr2bl w:val="nil"/>
            </w:tcBorders>
            <w:vAlign w:val="center"/>
          </w:tcPr>
          <w:p>
            <w:pPr>
              <w:rPr>
                <w:rFonts w:ascii="宋体" w:hAnsi="宋体" w:cs="宋体"/>
                <w:sz w:val="18"/>
                <w:szCs w:val="18"/>
              </w:rPr>
            </w:pPr>
            <w:r>
              <w:rPr>
                <w:rFonts w:hint="eastAsia"/>
                <w:sz w:val="18"/>
                <w:szCs w:val="18"/>
              </w:rPr>
              <w:t>完成年度活动计划得满分，否则本指标不得分</w:t>
            </w:r>
          </w:p>
        </w:tc>
        <w:tc>
          <w:tcPr>
            <w:tcW w:w="3119" w:type="dxa"/>
            <w:tcBorders>
              <w:tl2br w:val="nil"/>
              <w:tr2bl w:val="nil"/>
            </w:tcBorders>
          </w:tcPr>
          <w:p>
            <w:pPr>
              <w:rPr>
                <w:rFonts w:ascii="宋体" w:hAnsi="宋体" w:cs="宋体"/>
                <w:sz w:val="18"/>
                <w:szCs w:val="18"/>
              </w:rPr>
            </w:pPr>
            <w:r>
              <w:rPr>
                <w:rFonts w:hint="eastAsia"/>
                <w:sz w:val="18"/>
                <w:szCs w:val="18"/>
              </w:rPr>
              <w:t>开展文艺活动场次</w:t>
            </w:r>
          </w:p>
        </w:tc>
        <w:tc>
          <w:tcPr>
            <w:tcW w:w="567" w:type="dxa"/>
            <w:tcBorders>
              <w:tl2br w:val="nil"/>
              <w:tr2bl w:val="nil"/>
            </w:tcBorders>
            <w:vAlign w:val="center"/>
          </w:tcPr>
          <w:p>
            <w:pPr>
              <w:rPr>
                <w:rFonts w:ascii="宋体" w:hAnsi="宋体" w:cs="宋体"/>
                <w:sz w:val="18"/>
                <w:szCs w:val="18"/>
              </w:rPr>
            </w:pPr>
            <w:r>
              <w:rPr>
                <w:rFonts w:hint="eastAsia"/>
                <w:sz w:val="18"/>
                <w:szCs w:val="18"/>
              </w:rPr>
              <w:t>≥</w:t>
            </w:r>
          </w:p>
        </w:tc>
        <w:tc>
          <w:tcPr>
            <w:tcW w:w="567" w:type="dxa"/>
            <w:tcBorders>
              <w:tl2br w:val="nil"/>
              <w:tr2bl w:val="nil"/>
            </w:tcBorders>
            <w:vAlign w:val="center"/>
          </w:tcPr>
          <w:p>
            <w:pPr>
              <w:rPr>
                <w:rFonts w:ascii="宋体" w:hAnsi="宋体" w:cs="宋体"/>
                <w:color w:val="000000"/>
                <w:sz w:val="22"/>
              </w:rPr>
            </w:pPr>
            <w:r>
              <w:rPr>
                <w:rFonts w:hint="eastAsia"/>
                <w:color w:val="000000"/>
                <w:sz w:val="22"/>
              </w:rPr>
              <w:t>20.00</w:t>
            </w:r>
          </w:p>
        </w:tc>
        <w:tc>
          <w:tcPr>
            <w:tcW w:w="567" w:type="dxa"/>
            <w:tcBorders>
              <w:tl2br w:val="nil"/>
              <w:tr2bl w:val="nil"/>
            </w:tcBorders>
            <w:vAlign w:val="center"/>
          </w:tcPr>
          <w:p>
            <w:pPr>
              <w:rPr>
                <w:rFonts w:ascii="宋体" w:hAnsi="宋体" w:cs="宋体"/>
                <w:color w:val="000000"/>
                <w:sz w:val="22"/>
              </w:rPr>
            </w:pPr>
            <w:r>
              <w:rPr>
                <w:rFonts w:hint="eastAsia"/>
                <w:color w:val="000000"/>
                <w:sz w:val="22"/>
              </w:rPr>
              <w:t>场</w:t>
            </w:r>
          </w:p>
        </w:tc>
        <w:tc>
          <w:tcPr>
            <w:tcW w:w="992" w:type="dxa"/>
            <w:tcBorders>
              <w:tl2br w:val="nil"/>
              <w:tr2bl w:val="nil"/>
            </w:tcBorders>
            <w:vAlign w:val="center"/>
          </w:tcPr>
          <w:p>
            <w:pPr>
              <w:rPr>
                <w:rFonts w:ascii="宋体" w:hAnsi="宋体" w:cs="宋体"/>
                <w:color w:val="000000"/>
                <w:sz w:val="22"/>
              </w:rPr>
            </w:pPr>
            <w:r>
              <w:rPr>
                <w:rFonts w:hint="eastAsia"/>
                <w:color w:val="000000"/>
                <w:sz w:val="22"/>
              </w:rPr>
              <w:t>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2597" w:type="dxa"/>
            <w:tcBorders>
              <w:tl2br w:val="nil"/>
              <w:tr2bl w:val="nil"/>
            </w:tcBorders>
            <w:vAlign w:val="center"/>
          </w:tcPr>
          <w:p>
            <w:pPr>
              <w:rPr>
                <w:rFonts w:ascii="宋体" w:hAnsi="宋体" w:cs="宋体"/>
                <w:sz w:val="18"/>
                <w:szCs w:val="18"/>
              </w:rPr>
            </w:pPr>
            <w:r>
              <w:rPr>
                <w:rFonts w:hint="eastAsia"/>
                <w:sz w:val="18"/>
                <w:szCs w:val="18"/>
              </w:rPr>
              <w:t>计算机安装使用合格率</w:t>
            </w:r>
          </w:p>
        </w:tc>
        <w:tc>
          <w:tcPr>
            <w:tcW w:w="5103" w:type="dxa"/>
            <w:tcBorders>
              <w:tl2br w:val="nil"/>
              <w:tr2bl w:val="nil"/>
            </w:tcBorders>
            <w:vAlign w:val="center"/>
          </w:tcPr>
          <w:p>
            <w:pPr>
              <w:rPr>
                <w:rFonts w:ascii="宋体" w:hAnsi="宋体" w:cs="宋体"/>
                <w:sz w:val="18"/>
                <w:szCs w:val="18"/>
              </w:rPr>
            </w:pPr>
            <w:r>
              <w:rPr>
                <w:rFonts w:hint="eastAsia"/>
                <w:sz w:val="18"/>
                <w:szCs w:val="18"/>
              </w:rPr>
              <w:t>达到指标目标值得满分；达到80%目标值以上得50%权重分；低于80%目标值不得分</w:t>
            </w:r>
          </w:p>
        </w:tc>
        <w:tc>
          <w:tcPr>
            <w:tcW w:w="3119" w:type="dxa"/>
            <w:tcBorders>
              <w:tl2br w:val="nil"/>
              <w:tr2bl w:val="nil"/>
            </w:tcBorders>
          </w:tcPr>
          <w:p>
            <w:pPr>
              <w:rPr>
                <w:rFonts w:ascii="宋体" w:hAnsi="宋体" w:cs="宋体"/>
                <w:sz w:val="18"/>
                <w:szCs w:val="18"/>
              </w:rPr>
            </w:pPr>
            <w:r>
              <w:rPr>
                <w:rFonts w:hint="eastAsia"/>
                <w:sz w:val="18"/>
                <w:szCs w:val="18"/>
              </w:rPr>
              <w:t>软件质量合格情况</w:t>
            </w:r>
          </w:p>
        </w:tc>
        <w:tc>
          <w:tcPr>
            <w:tcW w:w="567" w:type="dxa"/>
            <w:tcBorders>
              <w:tl2br w:val="nil"/>
              <w:tr2bl w:val="nil"/>
            </w:tcBorders>
            <w:vAlign w:val="center"/>
          </w:tcPr>
          <w:p>
            <w:pPr>
              <w:rPr>
                <w:rFonts w:ascii="宋体" w:hAnsi="宋体" w:cs="宋体"/>
                <w:sz w:val="18"/>
                <w:szCs w:val="18"/>
              </w:rPr>
            </w:pPr>
            <w:r>
              <w:rPr>
                <w:rFonts w:hint="eastAsia"/>
                <w:sz w:val="18"/>
                <w:szCs w:val="18"/>
              </w:rPr>
              <w:t>=</w:t>
            </w:r>
          </w:p>
        </w:tc>
        <w:tc>
          <w:tcPr>
            <w:tcW w:w="567" w:type="dxa"/>
            <w:tcBorders>
              <w:tl2br w:val="nil"/>
              <w:tr2bl w:val="nil"/>
            </w:tcBorders>
            <w:vAlign w:val="center"/>
          </w:tcPr>
          <w:p>
            <w:pPr>
              <w:rPr>
                <w:rFonts w:ascii="仿宋_GB2312" w:hAnsi="宋体" w:eastAsia="仿宋_GB2312" w:cs="宋体"/>
                <w:sz w:val="20"/>
                <w:szCs w:val="20"/>
              </w:rPr>
            </w:pPr>
            <w:r>
              <w:rPr>
                <w:rFonts w:hint="eastAsia" w:ascii="仿宋_GB2312" w:eastAsia="仿宋_GB2312"/>
                <w:sz w:val="20"/>
                <w:szCs w:val="20"/>
              </w:rPr>
              <w:t>100</w:t>
            </w:r>
          </w:p>
        </w:tc>
        <w:tc>
          <w:tcPr>
            <w:tcW w:w="567" w:type="dxa"/>
            <w:tcBorders>
              <w:tl2br w:val="nil"/>
              <w:tr2bl w:val="nil"/>
            </w:tcBorders>
            <w:vAlign w:val="center"/>
          </w:tcPr>
          <w:p>
            <w:pPr>
              <w:rPr>
                <w:rFonts w:ascii="仿宋_GB2312" w:hAnsi="宋体" w:eastAsia="仿宋_GB2312" w:cs="宋体"/>
                <w:sz w:val="20"/>
                <w:szCs w:val="20"/>
              </w:rPr>
            </w:pPr>
            <w:r>
              <w:rPr>
                <w:rFonts w:hint="eastAsia" w:ascii="仿宋_GB2312" w:eastAsia="仿宋_GB2312"/>
                <w:sz w:val="20"/>
                <w:szCs w:val="20"/>
              </w:rPr>
              <w:t>%</w:t>
            </w:r>
          </w:p>
        </w:tc>
        <w:tc>
          <w:tcPr>
            <w:tcW w:w="992" w:type="dxa"/>
            <w:tcBorders>
              <w:tl2br w:val="nil"/>
              <w:tr2bl w:val="nil"/>
            </w:tcBorders>
            <w:vAlign w:val="center"/>
          </w:tcPr>
          <w:p>
            <w:pPr>
              <w:rPr>
                <w:rFonts w:ascii="仿宋_GB2312" w:hAnsi="宋体" w:eastAsia="仿宋_GB2312" w:cs="宋体"/>
                <w:sz w:val="20"/>
                <w:szCs w:val="20"/>
              </w:rPr>
            </w:pPr>
            <w:r>
              <w:rPr>
                <w:rFonts w:hint="eastAsia" w:ascii="仿宋_GB2312" w:eastAsia="仿宋_GB2312"/>
                <w:sz w:val="20"/>
                <w:szCs w:val="20"/>
              </w:rPr>
              <w:t>往年数据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2597" w:type="dxa"/>
            <w:tcBorders>
              <w:tl2br w:val="nil"/>
              <w:tr2bl w:val="nil"/>
            </w:tcBorders>
            <w:vAlign w:val="center"/>
          </w:tcPr>
          <w:p>
            <w:pPr>
              <w:rPr>
                <w:rFonts w:ascii="宋体" w:hAnsi="宋体" w:cs="宋体"/>
                <w:sz w:val="18"/>
                <w:szCs w:val="18"/>
              </w:rPr>
            </w:pPr>
            <w:r>
              <w:rPr>
                <w:rFonts w:hint="eastAsia"/>
                <w:sz w:val="18"/>
                <w:szCs w:val="18"/>
              </w:rPr>
              <w:t>出版物验收合格率</w:t>
            </w:r>
          </w:p>
        </w:tc>
        <w:tc>
          <w:tcPr>
            <w:tcW w:w="5103" w:type="dxa"/>
            <w:tcBorders>
              <w:tl2br w:val="nil"/>
              <w:tr2bl w:val="nil"/>
            </w:tcBorders>
            <w:vAlign w:val="center"/>
          </w:tcPr>
          <w:p>
            <w:pPr>
              <w:rPr>
                <w:rFonts w:ascii="宋体" w:hAnsi="宋体" w:cs="宋体"/>
                <w:sz w:val="18"/>
                <w:szCs w:val="18"/>
              </w:rPr>
            </w:pPr>
            <w:r>
              <w:rPr>
                <w:rFonts w:hint="eastAsia"/>
                <w:sz w:val="18"/>
                <w:szCs w:val="18"/>
              </w:rPr>
              <w:t>验收合格率达100%本指标满分，否则本指标不得分</w:t>
            </w:r>
          </w:p>
        </w:tc>
        <w:tc>
          <w:tcPr>
            <w:tcW w:w="3119" w:type="dxa"/>
            <w:tcBorders>
              <w:tl2br w:val="nil"/>
              <w:tr2bl w:val="nil"/>
            </w:tcBorders>
          </w:tcPr>
          <w:p>
            <w:pPr>
              <w:rPr>
                <w:rFonts w:ascii="宋体" w:hAnsi="宋体" w:cs="宋体"/>
                <w:sz w:val="18"/>
                <w:szCs w:val="18"/>
              </w:rPr>
            </w:pPr>
            <w:r>
              <w:rPr>
                <w:rFonts w:hint="eastAsia"/>
                <w:sz w:val="18"/>
                <w:szCs w:val="18"/>
              </w:rPr>
              <w:t>出版物验收合格情况</w:t>
            </w:r>
          </w:p>
        </w:tc>
        <w:tc>
          <w:tcPr>
            <w:tcW w:w="567" w:type="dxa"/>
            <w:tcBorders>
              <w:tl2br w:val="nil"/>
              <w:tr2bl w:val="nil"/>
            </w:tcBorders>
            <w:vAlign w:val="center"/>
          </w:tcPr>
          <w:p>
            <w:pPr>
              <w:rPr>
                <w:rFonts w:ascii="宋体" w:hAnsi="宋体" w:cs="宋体"/>
                <w:sz w:val="18"/>
                <w:szCs w:val="18"/>
              </w:rPr>
            </w:pPr>
            <w:r>
              <w:rPr>
                <w:rFonts w:hint="eastAsia"/>
                <w:sz w:val="18"/>
                <w:szCs w:val="18"/>
              </w:rPr>
              <w:t>=</w:t>
            </w:r>
          </w:p>
        </w:tc>
        <w:tc>
          <w:tcPr>
            <w:tcW w:w="567" w:type="dxa"/>
            <w:tcBorders>
              <w:tl2br w:val="nil"/>
              <w:tr2bl w:val="nil"/>
            </w:tcBorders>
            <w:vAlign w:val="center"/>
          </w:tcPr>
          <w:p>
            <w:pPr>
              <w:rPr>
                <w:rFonts w:ascii="宋体" w:hAnsi="宋体" w:cs="宋体"/>
                <w:sz w:val="18"/>
                <w:szCs w:val="18"/>
              </w:rPr>
            </w:pPr>
            <w:r>
              <w:rPr>
                <w:rFonts w:hint="eastAsia"/>
                <w:sz w:val="18"/>
                <w:szCs w:val="18"/>
              </w:rPr>
              <w:t>100</w:t>
            </w:r>
          </w:p>
        </w:tc>
        <w:tc>
          <w:tcPr>
            <w:tcW w:w="567" w:type="dxa"/>
            <w:tcBorders>
              <w:tl2br w:val="nil"/>
              <w:tr2bl w:val="nil"/>
            </w:tcBorders>
            <w:vAlign w:val="center"/>
          </w:tcPr>
          <w:p>
            <w:pPr>
              <w:rPr>
                <w:rFonts w:ascii="宋体" w:hAnsi="宋体" w:cs="宋体"/>
                <w:sz w:val="18"/>
                <w:szCs w:val="18"/>
              </w:rPr>
            </w:pPr>
            <w:r>
              <w:rPr>
                <w:rFonts w:hint="eastAsia"/>
                <w:sz w:val="18"/>
                <w:szCs w:val="18"/>
              </w:rPr>
              <w:t>%</w:t>
            </w:r>
          </w:p>
        </w:tc>
        <w:tc>
          <w:tcPr>
            <w:tcW w:w="992" w:type="dxa"/>
            <w:tcBorders>
              <w:tl2br w:val="nil"/>
              <w:tr2bl w:val="nil"/>
            </w:tcBorders>
            <w:vAlign w:val="center"/>
          </w:tcPr>
          <w:p>
            <w:pPr>
              <w:rPr>
                <w:rFonts w:ascii="宋体" w:hAnsi="宋体" w:cs="宋体"/>
                <w:sz w:val="18"/>
                <w:szCs w:val="18"/>
              </w:rPr>
            </w:pPr>
            <w:r>
              <w:rPr>
                <w:rFonts w:hint="eastAsia"/>
                <w:sz w:val="18"/>
                <w:szCs w:val="18"/>
              </w:rPr>
              <w:t>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2597" w:type="dxa"/>
            <w:tcBorders>
              <w:tl2br w:val="nil"/>
              <w:tr2bl w:val="nil"/>
            </w:tcBorders>
            <w:vAlign w:val="center"/>
          </w:tcPr>
          <w:p>
            <w:pPr>
              <w:rPr>
                <w:rFonts w:ascii="宋体" w:hAnsi="宋体" w:cs="宋体"/>
                <w:sz w:val="18"/>
                <w:szCs w:val="18"/>
              </w:rPr>
            </w:pPr>
            <w:r>
              <w:rPr>
                <w:rFonts w:hint="eastAsia"/>
                <w:sz w:val="18"/>
                <w:szCs w:val="18"/>
              </w:rPr>
              <w:t>宣传内容知晓率</w:t>
            </w:r>
          </w:p>
        </w:tc>
        <w:tc>
          <w:tcPr>
            <w:tcW w:w="5103" w:type="dxa"/>
            <w:tcBorders>
              <w:tl2br w:val="nil"/>
              <w:tr2bl w:val="nil"/>
            </w:tcBorders>
            <w:vAlign w:val="center"/>
          </w:tcPr>
          <w:p>
            <w:pPr>
              <w:rPr>
                <w:rFonts w:ascii="宋体" w:hAnsi="宋体" w:cs="宋体"/>
                <w:sz w:val="18"/>
                <w:szCs w:val="18"/>
              </w:rPr>
            </w:pPr>
            <w:r>
              <w:rPr>
                <w:rFonts w:hint="eastAsia"/>
                <w:sz w:val="18"/>
                <w:szCs w:val="18"/>
              </w:rPr>
              <w:t>达到指标目标值得满分；达到80%目标值以上得50%权重分；低于80%目标值不得分</w:t>
            </w:r>
          </w:p>
        </w:tc>
        <w:tc>
          <w:tcPr>
            <w:tcW w:w="3119" w:type="dxa"/>
            <w:tcBorders>
              <w:tl2br w:val="nil"/>
              <w:tr2bl w:val="nil"/>
            </w:tcBorders>
          </w:tcPr>
          <w:p>
            <w:pPr>
              <w:rPr>
                <w:rFonts w:ascii="宋体" w:hAnsi="宋体" w:cs="宋体"/>
                <w:sz w:val="18"/>
                <w:szCs w:val="18"/>
              </w:rPr>
            </w:pPr>
            <w:r>
              <w:rPr>
                <w:rFonts w:hint="eastAsia"/>
                <w:sz w:val="18"/>
                <w:szCs w:val="18"/>
              </w:rPr>
              <w:t>宣传内容群众知晓情况</w:t>
            </w:r>
          </w:p>
        </w:tc>
        <w:tc>
          <w:tcPr>
            <w:tcW w:w="567" w:type="dxa"/>
            <w:tcBorders>
              <w:tl2br w:val="nil"/>
              <w:tr2bl w:val="nil"/>
            </w:tcBorders>
            <w:vAlign w:val="center"/>
          </w:tcPr>
          <w:p>
            <w:pPr>
              <w:rPr>
                <w:rFonts w:ascii="宋体" w:hAnsi="宋体" w:cs="宋体"/>
                <w:sz w:val="18"/>
                <w:szCs w:val="18"/>
              </w:rPr>
            </w:pPr>
            <w:r>
              <w:rPr>
                <w:rFonts w:hint="eastAsia"/>
                <w:sz w:val="18"/>
                <w:szCs w:val="18"/>
              </w:rPr>
              <w:t>≥</w:t>
            </w:r>
          </w:p>
        </w:tc>
        <w:tc>
          <w:tcPr>
            <w:tcW w:w="567" w:type="dxa"/>
            <w:tcBorders>
              <w:tl2br w:val="nil"/>
              <w:tr2bl w:val="nil"/>
            </w:tcBorders>
            <w:vAlign w:val="center"/>
          </w:tcPr>
          <w:p>
            <w:pPr>
              <w:rPr>
                <w:rFonts w:ascii="仿宋_GB2312" w:hAnsi="宋体" w:eastAsia="仿宋_GB2312" w:cs="宋体"/>
                <w:sz w:val="20"/>
                <w:szCs w:val="20"/>
              </w:rPr>
            </w:pPr>
            <w:r>
              <w:rPr>
                <w:rFonts w:hint="eastAsia" w:ascii="仿宋_GB2312" w:eastAsia="仿宋_GB2312"/>
                <w:sz w:val="20"/>
                <w:szCs w:val="20"/>
              </w:rPr>
              <w:t>90</w:t>
            </w:r>
          </w:p>
        </w:tc>
        <w:tc>
          <w:tcPr>
            <w:tcW w:w="567" w:type="dxa"/>
            <w:tcBorders>
              <w:tl2br w:val="nil"/>
              <w:tr2bl w:val="nil"/>
            </w:tcBorders>
            <w:vAlign w:val="center"/>
          </w:tcPr>
          <w:p>
            <w:pPr>
              <w:rPr>
                <w:rFonts w:ascii="仿宋_GB2312" w:hAnsi="宋体" w:eastAsia="仿宋_GB2312" w:cs="宋体"/>
                <w:sz w:val="20"/>
                <w:szCs w:val="20"/>
              </w:rPr>
            </w:pPr>
            <w:r>
              <w:rPr>
                <w:rFonts w:hint="eastAsia" w:ascii="仿宋_GB2312" w:eastAsia="仿宋_GB2312"/>
                <w:sz w:val="20"/>
                <w:szCs w:val="20"/>
              </w:rPr>
              <w:t>%</w:t>
            </w:r>
          </w:p>
        </w:tc>
        <w:tc>
          <w:tcPr>
            <w:tcW w:w="992" w:type="dxa"/>
            <w:tcBorders>
              <w:tl2br w:val="nil"/>
              <w:tr2bl w:val="nil"/>
            </w:tcBorders>
            <w:vAlign w:val="center"/>
          </w:tcPr>
          <w:p>
            <w:pPr>
              <w:rPr>
                <w:rFonts w:ascii="宋体" w:hAnsi="宋体" w:cs="宋体"/>
                <w:sz w:val="18"/>
                <w:szCs w:val="18"/>
              </w:rPr>
            </w:pPr>
            <w:r>
              <w:rPr>
                <w:rFonts w:hint="eastAsia"/>
                <w:sz w:val="18"/>
                <w:szCs w:val="18"/>
              </w:rPr>
              <w:t>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2597" w:type="dxa"/>
            <w:tcBorders>
              <w:tl2br w:val="nil"/>
              <w:tr2bl w:val="nil"/>
            </w:tcBorders>
            <w:vAlign w:val="center"/>
          </w:tcPr>
          <w:p>
            <w:pPr>
              <w:rPr>
                <w:rFonts w:ascii="宋体" w:hAnsi="宋体" w:cs="宋体"/>
                <w:sz w:val="18"/>
                <w:szCs w:val="18"/>
              </w:rPr>
            </w:pPr>
            <w:r>
              <w:rPr>
                <w:rFonts w:hint="eastAsia"/>
                <w:sz w:val="18"/>
                <w:szCs w:val="18"/>
              </w:rPr>
              <w:t>宣传资料发放率</w:t>
            </w:r>
          </w:p>
        </w:tc>
        <w:tc>
          <w:tcPr>
            <w:tcW w:w="5103" w:type="dxa"/>
            <w:tcBorders>
              <w:tl2br w:val="nil"/>
              <w:tr2bl w:val="nil"/>
            </w:tcBorders>
            <w:vAlign w:val="center"/>
          </w:tcPr>
          <w:p>
            <w:pPr>
              <w:rPr>
                <w:rFonts w:ascii="宋体" w:hAnsi="宋体" w:cs="宋体"/>
                <w:sz w:val="18"/>
                <w:szCs w:val="18"/>
              </w:rPr>
            </w:pPr>
            <w:r>
              <w:rPr>
                <w:rFonts w:hint="eastAsia"/>
                <w:sz w:val="18"/>
                <w:szCs w:val="18"/>
              </w:rPr>
              <w:t>达到指标目标值得满分；达到80%目标值以上得50%权重分；低于80%目标值不得分</w:t>
            </w:r>
          </w:p>
        </w:tc>
        <w:tc>
          <w:tcPr>
            <w:tcW w:w="3119" w:type="dxa"/>
            <w:tcBorders>
              <w:tl2br w:val="nil"/>
              <w:tr2bl w:val="nil"/>
            </w:tcBorders>
          </w:tcPr>
          <w:p>
            <w:pPr>
              <w:rPr>
                <w:rFonts w:ascii="宋体" w:hAnsi="宋体" w:cs="宋体"/>
                <w:sz w:val="18"/>
                <w:szCs w:val="18"/>
              </w:rPr>
            </w:pPr>
            <w:r>
              <w:rPr>
                <w:rFonts w:hint="eastAsia"/>
                <w:sz w:val="18"/>
                <w:szCs w:val="18"/>
              </w:rPr>
              <w:t>宣传资料发放情况</w:t>
            </w:r>
          </w:p>
        </w:tc>
        <w:tc>
          <w:tcPr>
            <w:tcW w:w="567" w:type="dxa"/>
            <w:tcBorders>
              <w:tl2br w:val="nil"/>
              <w:tr2bl w:val="nil"/>
            </w:tcBorders>
            <w:vAlign w:val="center"/>
          </w:tcPr>
          <w:p>
            <w:pPr>
              <w:rPr>
                <w:rFonts w:ascii="宋体" w:hAnsi="宋体" w:cs="宋体"/>
                <w:sz w:val="18"/>
                <w:szCs w:val="18"/>
              </w:rPr>
            </w:pPr>
            <w:r>
              <w:rPr>
                <w:rFonts w:hint="eastAsia"/>
                <w:sz w:val="18"/>
                <w:szCs w:val="18"/>
              </w:rPr>
              <w:t>≥</w:t>
            </w:r>
          </w:p>
        </w:tc>
        <w:tc>
          <w:tcPr>
            <w:tcW w:w="567" w:type="dxa"/>
            <w:tcBorders>
              <w:tl2br w:val="nil"/>
              <w:tr2bl w:val="nil"/>
            </w:tcBorders>
            <w:vAlign w:val="center"/>
          </w:tcPr>
          <w:p>
            <w:pPr>
              <w:jc w:val="right"/>
              <w:rPr>
                <w:rFonts w:ascii="宋体" w:hAnsi="宋体" w:cs="宋体"/>
                <w:sz w:val="18"/>
                <w:szCs w:val="18"/>
              </w:rPr>
            </w:pPr>
            <w:r>
              <w:rPr>
                <w:rFonts w:hint="eastAsia"/>
                <w:sz w:val="18"/>
                <w:szCs w:val="18"/>
              </w:rPr>
              <w:t>90.00</w:t>
            </w:r>
          </w:p>
        </w:tc>
        <w:tc>
          <w:tcPr>
            <w:tcW w:w="567" w:type="dxa"/>
            <w:tcBorders>
              <w:tl2br w:val="nil"/>
              <w:tr2bl w:val="nil"/>
            </w:tcBorders>
            <w:vAlign w:val="center"/>
          </w:tcPr>
          <w:p>
            <w:pPr>
              <w:rPr>
                <w:rFonts w:ascii="宋体" w:hAnsi="宋体" w:cs="宋体"/>
                <w:sz w:val="18"/>
                <w:szCs w:val="18"/>
              </w:rPr>
            </w:pPr>
            <w:r>
              <w:rPr>
                <w:rFonts w:hint="eastAsia"/>
                <w:sz w:val="18"/>
                <w:szCs w:val="18"/>
              </w:rPr>
              <w:t>%</w:t>
            </w:r>
          </w:p>
        </w:tc>
        <w:tc>
          <w:tcPr>
            <w:tcW w:w="992" w:type="dxa"/>
            <w:tcBorders>
              <w:tl2br w:val="nil"/>
              <w:tr2bl w:val="nil"/>
            </w:tcBorders>
            <w:vAlign w:val="center"/>
          </w:tcPr>
          <w:p>
            <w:pPr>
              <w:rPr>
                <w:rFonts w:ascii="宋体" w:hAnsi="宋体" w:cs="宋体"/>
                <w:sz w:val="18"/>
                <w:szCs w:val="18"/>
              </w:rPr>
            </w:pPr>
            <w:r>
              <w:rPr>
                <w:rFonts w:hint="eastAsia"/>
                <w:sz w:val="18"/>
                <w:szCs w:val="18"/>
              </w:rPr>
              <w:t>往年数据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2597" w:type="dxa"/>
            <w:tcBorders>
              <w:tl2br w:val="nil"/>
              <w:tr2bl w:val="nil"/>
            </w:tcBorders>
            <w:vAlign w:val="center"/>
          </w:tcPr>
          <w:p>
            <w:pPr>
              <w:rPr>
                <w:rFonts w:ascii="宋体" w:hAnsi="宋体" w:cs="宋体"/>
                <w:sz w:val="18"/>
                <w:szCs w:val="18"/>
              </w:rPr>
            </w:pPr>
            <w:r>
              <w:rPr>
                <w:rFonts w:hint="eastAsia"/>
                <w:sz w:val="18"/>
                <w:szCs w:val="18"/>
              </w:rPr>
              <w:t>"身边好人"评选合格率</w:t>
            </w:r>
          </w:p>
        </w:tc>
        <w:tc>
          <w:tcPr>
            <w:tcW w:w="5103" w:type="dxa"/>
            <w:tcBorders>
              <w:tl2br w:val="nil"/>
              <w:tr2bl w:val="nil"/>
            </w:tcBorders>
            <w:vAlign w:val="center"/>
          </w:tcPr>
          <w:p>
            <w:pPr>
              <w:rPr>
                <w:rFonts w:ascii="宋体" w:hAnsi="宋体" w:cs="宋体"/>
                <w:sz w:val="18"/>
                <w:szCs w:val="18"/>
              </w:rPr>
            </w:pPr>
            <w:r>
              <w:rPr>
                <w:rFonts w:hint="eastAsia"/>
                <w:sz w:val="18"/>
                <w:szCs w:val="18"/>
              </w:rPr>
              <w:t>通过抽查如1人不符合评选要求本指标不得分</w:t>
            </w:r>
          </w:p>
        </w:tc>
        <w:tc>
          <w:tcPr>
            <w:tcW w:w="3119" w:type="dxa"/>
            <w:tcBorders>
              <w:tl2br w:val="nil"/>
              <w:tr2bl w:val="nil"/>
            </w:tcBorders>
          </w:tcPr>
          <w:p>
            <w:pPr>
              <w:rPr>
                <w:rFonts w:ascii="宋体" w:hAnsi="宋体" w:cs="宋体"/>
                <w:sz w:val="18"/>
                <w:szCs w:val="18"/>
              </w:rPr>
            </w:pPr>
            <w:r>
              <w:rPr>
                <w:rFonts w:hint="eastAsia"/>
                <w:sz w:val="18"/>
                <w:szCs w:val="18"/>
              </w:rPr>
              <w:t>按身边好人评选活动方案要求评选</w:t>
            </w:r>
          </w:p>
        </w:tc>
        <w:tc>
          <w:tcPr>
            <w:tcW w:w="567" w:type="dxa"/>
            <w:tcBorders>
              <w:tl2br w:val="nil"/>
              <w:tr2bl w:val="nil"/>
            </w:tcBorders>
            <w:vAlign w:val="center"/>
          </w:tcPr>
          <w:p>
            <w:pPr>
              <w:rPr>
                <w:rFonts w:ascii="宋体" w:hAnsi="宋体" w:cs="宋体"/>
                <w:sz w:val="18"/>
                <w:szCs w:val="18"/>
              </w:rPr>
            </w:pPr>
            <w:r>
              <w:rPr>
                <w:rFonts w:hint="eastAsia"/>
                <w:sz w:val="18"/>
                <w:szCs w:val="18"/>
              </w:rPr>
              <w:t>=</w:t>
            </w:r>
          </w:p>
        </w:tc>
        <w:tc>
          <w:tcPr>
            <w:tcW w:w="567" w:type="dxa"/>
            <w:tcBorders>
              <w:tl2br w:val="nil"/>
              <w:tr2bl w:val="nil"/>
            </w:tcBorders>
            <w:vAlign w:val="center"/>
          </w:tcPr>
          <w:p>
            <w:pPr>
              <w:rPr>
                <w:rFonts w:ascii="宋体" w:hAnsi="宋体" w:cs="宋体"/>
                <w:sz w:val="18"/>
                <w:szCs w:val="18"/>
              </w:rPr>
            </w:pPr>
            <w:r>
              <w:rPr>
                <w:rFonts w:hint="eastAsia"/>
                <w:sz w:val="18"/>
                <w:szCs w:val="18"/>
              </w:rPr>
              <w:t>100</w:t>
            </w:r>
          </w:p>
        </w:tc>
        <w:tc>
          <w:tcPr>
            <w:tcW w:w="567" w:type="dxa"/>
            <w:tcBorders>
              <w:tl2br w:val="nil"/>
              <w:tr2bl w:val="nil"/>
            </w:tcBorders>
            <w:vAlign w:val="center"/>
          </w:tcPr>
          <w:p>
            <w:pPr>
              <w:rPr>
                <w:rFonts w:ascii="宋体" w:hAnsi="宋体" w:cs="宋体"/>
                <w:sz w:val="18"/>
                <w:szCs w:val="18"/>
              </w:rPr>
            </w:pPr>
            <w:r>
              <w:rPr>
                <w:rFonts w:hint="eastAsia"/>
                <w:sz w:val="18"/>
                <w:szCs w:val="18"/>
              </w:rPr>
              <w:t>%</w:t>
            </w:r>
          </w:p>
        </w:tc>
        <w:tc>
          <w:tcPr>
            <w:tcW w:w="992" w:type="dxa"/>
            <w:tcBorders>
              <w:tl2br w:val="nil"/>
              <w:tr2bl w:val="nil"/>
            </w:tcBorders>
            <w:vAlign w:val="center"/>
          </w:tcPr>
          <w:p>
            <w:pPr>
              <w:rPr>
                <w:rFonts w:ascii="宋体" w:hAnsi="宋体" w:cs="宋体"/>
                <w:sz w:val="18"/>
                <w:szCs w:val="18"/>
              </w:rPr>
            </w:pPr>
            <w:r>
              <w:rPr>
                <w:rFonts w:hint="eastAsia"/>
                <w:sz w:val="18"/>
                <w:szCs w:val="18"/>
              </w:rPr>
              <w:t>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2597" w:type="dxa"/>
            <w:tcBorders>
              <w:tl2br w:val="nil"/>
              <w:tr2bl w:val="nil"/>
            </w:tcBorders>
            <w:vAlign w:val="center"/>
          </w:tcPr>
          <w:p>
            <w:pPr>
              <w:rPr>
                <w:rFonts w:ascii="宋体" w:hAnsi="宋体" w:cs="宋体"/>
                <w:sz w:val="18"/>
                <w:szCs w:val="18"/>
              </w:rPr>
            </w:pPr>
            <w:r>
              <w:rPr>
                <w:rFonts w:hint="eastAsia"/>
                <w:sz w:val="18"/>
                <w:szCs w:val="18"/>
              </w:rPr>
              <w:t>订阅党刊完成率</w:t>
            </w:r>
          </w:p>
        </w:tc>
        <w:tc>
          <w:tcPr>
            <w:tcW w:w="5103" w:type="dxa"/>
            <w:tcBorders>
              <w:tl2br w:val="nil"/>
              <w:tr2bl w:val="nil"/>
            </w:tcBorders>
            <w:vAlign w:val="center"/>
          </w:tcPr>
          <w:p>
            <w:pPr>
              <w:rPr>
                <w:rFonts w:ascii="宋体" w:hAnsi="宋体" w:cs="宋体"/>
                <w:sz w:val="18"/>
                <w:szCs w:val="18"/>
              </w:rPr>
            </w:pPr>
            <w:r>
              <w:rPr>
                <w:rFonts w:hint="eastAsia"/>
                <w:sz w:val="18"/>
                <w:szCs w:val="18"/>
              </w:rPr>
              <w:t>订阅率达到90%以上得满分，未达到本指标不得分</w:t>
            </w:r>
          </w:p>
        </w:tc>
        <w:tc>
          <w:tcPr>
            <w:tcW w:w="3119" w:type="dxa"/>
            <w:tcBorders>
              <w:tl2br w:val="nil"/>
              <w:tr2bl w:val="nil"/>
            </w:tcBorders>
          </w:tcPr>
          <w:p>
            <w:pPr>
              <w:rPr>
                <w:rFonts w:ascii="宋体" w:hAnsi="宋体" w:cs="宋体"/>
                <w:sz w:val="18"/>
                <w:szCs w:val="18"/>
              </w:rPr>
            </w:pPr>
            <w:r>
              <w:rPr>
                <w:rFonts w:hint="eastAsia"/>
                <w:sz w:val="18"/>
                <w:szCs w:val="18"/>
              </w:rPr>
              <w:t>完成征订任务情况</w:t>
            </w:r>
          </w:p>
        </w:tc>
        <w:tc>
          <w:tcPr>
            <w:tcW w:w="567" w:type="dxa"/>
            <w:tcBorders>
              <w:tl2br w:val="nil"/>
              <w:tr2bl w:val="nil"/>
            </w:tcBorders>
            <w:vAlign w:val="center"/>
          </w:tcPr>
          <w:p>
            <w:pPr>
              <w:rPr>
                <w:rFonts w:ascii="宋体" w:hAnsi="宋体" w:cs="宋体"/>
                <w:sz w:val="18"/>
                <w:szCs w:val="18"/>
              </w:rPr>
            </w:pPr>
            <w:r>
              <w:rPr>
                <w:rFonts w:hint="eastAsia"/>
                <w:sz w:val="18"/>
                <w:szCs w:val="18"/>
              </w:rPr>
              <w:t>≥</w:t>
            </w:r>
          </w:p>
        </w:tc>
        <w:tc>
          <w:tcPr>
            <w:tcW w:w="567" w:type="dxa"/>
            <w:tcBorders>
              <w:tl2br w:val="nil"/>
              <w:tr2bl w:val="nil"/>
            </w:tcBorders>
            <w:vAlign w:val="center"/>
          </w:tcPr>
          <w:p>
            <w:pPr>
              <w:rPr>
                <w:rFonts w:ascii="宋体" w:hAnsi="宋体" w:cs="宋体"/>
                <w:sz w:val="18"/>
                <w:szCs w:val="18"/>
              </w:rPr>
            </w:pPr>
            <w:r>
              <w:rPr>
                <w:rFonts w:hint="eastAsia"/>
                <w:sz w:val="18"/>
                <w:szCs w:val="18"/>
              </w:rPr>
              <w:t>90.00</w:t>
            </w:r>
          </w:p>
        </w:tc>
        <w:tc>
          <w:tcPr>
            <w:tcW w:w="567" w:type="dxa"/>
            <w:tcBorders>
              <w:tl2br w:val="nil"/>
              <w:tr2bl w:val="nil"/>
            </w:tcBorders>
            <w:vAlign w:val="center"/>
          </w:tcPr>
          <w:p>
            <w:pPr>
              <w:rPr>
                <w:rFonts w:ascii="仿宋_GB2312" w:hAnsi="宋体" w:eastAsia="仿宋_GB2312" w:cs="宋体"/>
                <w:sz w:val="20"/>
                <w:szCs w:val="20"/>
              </w:rPr>
            </w:pPr>
            <w:r>
              <w:rPr>
                <w:rFonts w:hint="eastAsia" w:ascii="仿宋_GB2312" w:eastAsia="仿宋_GB2312"/>
                <w:sz w:val="20"/>
                <w:szCs w:val="20"/>
              </w:rPr>
              <w:t>%</w:t>
            </w:r>
          </w:p>
        </w:tc>
        <w:tc>
          <w:tcPr>
            <w:tcW w:w="992" w:type="dxa"/>
            <w:tcBorders>
              <w:tl2br w:val="nil"/>
              <w:tr2bl w:val="nil"/>
            </w:tcBorders>
            <w:vAlign w:val="center"/>
          </w:tcPr>
          <w:p>
            <w:pPr>
              <w:rPr>
                <w:rFonts w:ascii="宋体" w:hAnsi="宋体" w:cs="宋体"/>
                <w:sz w:val="18"/>
                <w:szCs w:val="18"/>
              </w:rPr>
            </w:pPr>
            <w:r>
              <w:rPr>
                <w:rFonts w:hint="eastAsia"/>
                <w:sz w:val="18"/>
                <w:szCs w:val="18"/>
              </w:rPr>
              <w:t>工作需求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2597" w:type="dxa"/>
            <w:tcBorders>
              <w:tl2br w:val="nil"/>
              <w:tr2bl w:val="nil"/>
            </w:tcBorders>
            <w:vAlign w:val="center"/>
          </w:tcPr>
          <w:p>
            <w:pPr>
              <w:rPr>
                <w:rFonts w:ascii="宋体" w:hAnsi="宋体" w:cs="宋体"/>
                <w:sz w:val="18"/>
                <w:szCs w:val="18"/>
              </w:rPr>
            </w:pPr>
            <w:r>
              <w:rPr>
                <w:rFonts w:hint="eastAsia"/>
                <w:sz w:val="18"/>
                <w:szCs w:val="18"/>
              </w:rPr>
              <w:t>宣传视频播放及时性</w:t>
            </w:r>
          </w:p>
        </w:tc>
        <w:tc>
          <w:tcPr>
            <w:tcW w:w="5103" w:type="dxa"/>
            <w:tcBorders>
              <w:tl2br w:val="nil"/>
              <w:tr2bl w:val="nil"/>
            </w:tcBorders>
            <w:vAlign w:val="center"/>
          </w:tcPr>
          <w:p>
            <w:pPr>
              <w:rPr>
                <w:rFonts w:ascii="宋体" w:hAnsi="宋体" w:cs="宋体"/>
                <w:sz w:val="18"/>
                <w:szCs w:val="18"/>
              </w:rPr>
            </w:pPr>
            <w:r>
              <w:rPr>
                <w:rFonts w:hint="eastAsia"/>
                <w:sz w:val="18"/>
                <w:szCs w:val="18"/>
              </w:rPr>
              <w:t>达到指标目标值得满分；达到80%目标值以上得50%权重分；低于80%目标值不得分</w:t>
            </w:r>
          </w:p>
        </w:tc>
        <w:tc>
          <w:tcPr>
            <w:tcW w:w="3119" w:type="dxa"/>
            <w:tcBorders>
              <w:tl2br w:val="nil"/>
              <w:tr2bl w:val="nil"/>
            </w:tcBorders>
          </w:tcPr>
          <w:p>
            <w:pPr>
              <w:rPr>
                <w:rFonts w:ascii="宋体" w:hAnsi="宋体" w:cs="宋体"/>
                <w:sz w:val="18"/>
                <w:szCs w:val="18"/>
              </w:rPr>
            </w:pPr>
            <w:r>
              <w:rPr>
                <w:rFonts w:hint="eastAsia"/>
                <w:sz w:val="18"/>
                <w:szCs w:val="18"/>
              </w:rPr>
              <w:t>宣传视频播放时间</w:t>
            </w:r>
          </w:p>
        </w:tc>
        <w:tc>
          <w:tcPr>
            <w:tcW w:w="567" w:type="dxa"/>
            <w:tcBorders>
              <w:tl2br w:val="nil"/>
              <w:tr2bl w:val="nil"/>
            </w:tcBorders>
            <w:vAlign w:val="center"/>
          </w:tcPr>
          <w:p>
            <w:pPr>
              <w:rPr>
                <w:rFonts w:ascii="宋体" w:hAnsi="宋体" w:cs="宋体"/>
                <w:sz w:val="18"/>
                <w:szCs w:val="18"/>
              </w:rPr>
            </w:pPr>
            <w:r>
              <w:rPr>
                <w:rFonts w:hint="eastAsia"/>
                <w:sz w:val="18"/>
                <w:szCs w:val="18"/>
              </w:rPr>
              <w:t>≥</w:t>
            </w:r>
          </w:p>
        </w:tc>
        <w:tc>
          <w:tcPr>
            <w:tcW w:w="567" w:type="dxa"/>
            <w:tcBorders>
              <w:tl2br w:val="nil"/>
              <w:tr2bl w:val="nil"/>
            </w:tcBorders>
            <w:vAlign w:val="center"/>
          </w:tcPr>
          <w:p>
            <w:pPr>
              <w:jc w:val="right"/>
              <w:rPr>
                <w:rFonts w:ascii="宋体" w:hAnsi="宋体" w:cs="宋体"/>
                <w:sz w:val="18"/>
                <w:szCs w:val="18"/>
              </w:rPr>
            </w:pPr>
            <w:r>
              <w:rPr>
                <w:rFonts w:hint="eastAsia"/>
                <w:sz w:val="18"/>
                <w:szCs w:val="18"/>
              </w:rPr>
              <w:t>　</w:t>
            </w:r>
          </w:p>
        </w:tc>
        <w:tc>
          <w:tcPr>
            <w:tcW w:w="567" w:type="dxa"/>
            <w:tcBorders>
              <w:tl2br w:val="nil"/>
              <w:tr2bl w:val="nil"/>
            </w:tcBorders>
            <w:vAlign w:val="center"/>
          </w:tcPr>
          <w:p>
            <w:pPr>
              <w:rPr>
                <w:rFonts w:ascii="宋体" w:hAnsi="宋体" w:cs="宋体"/>
                <w:sz w:val="18"/>
                <w:szCs w:val="18"/>
              </w:rPr>
            </w:pPr>
            <w:r>
              <w:rPr>
                <w:rFonts w:hint="eastAsia"/>
                <w:sz w:val="18"/>
                <w:szCs w:val="18"/>
              </w:rPr>
              <w:t>合同日期</w:t>
            </w:r>
          </w:p>
        </w:tc>
        <w:tc>
          <w:tcPr>
            <w:tcW w:w="992" w:type="dxa"/>
            <w:tcBorders>
              <w:tl2br w:val="nil"/>
              <w:tr2bl w:val="nil"/>
            </w:tcBorders>
            <w:vAlign w:val="center"/>
          </w:tcPr>
          <w:p>
            <w:pPr>
              <w:rPr>
                <w:rFonts w:ascii="宋体" w:hAnsi="宋体" w:cs="宋体"/>
                <w:sz w:val="18"/>
                <w:szCs w:val="18"/>
              </w:rPr>
            </w:pPr>
            <w:r>
              <w:rPr>
                <w:rFonts w:hint="eastAsia"/>
                <w:sz w:val="18"/>
                <w:szCs w:val="18"/>
              </w:rPr>
              <w:t>项目实施方案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2597" w:type="dxa"/>
            <w:tcBorders>
              <w:tl2br w:val="nil"/>
              <w:tr2bl w:val="nil"/>
            </w:tcBorders>
            <w:vAlign w:val="center"/>
          </w:tcPr>
          <w:p>
            <w:pPr>
              <w:rPr>
                <w:rFonts w:ascii="宋体" w:hAnsi="宋体" w:cs="宋体"/>
                <w:sz w:val="18"/>
                <w:szCs w:val="18"/>
              </w:rPr>
            </w:pPr>
            <w:r>
              <w:rPr>
                <w:rFonts w:hint="eastAsia"/>
                <w:sz w:val="18"/>
                <w:szCs w:val="18"/>
              </w:rPr>
              <w:t>软件采购安装及时性</w:t>
            </w:r>
          </w:p>
        </w:tc>
        <w:tc>
          <w:tcPr>
            <w:tcW w:w="5103" w:type="dxa"/>
            <w:tcBorders>
              <w:tl2br w:val="nil"/>
              <w:tr2bl w:val="nil"/>
            </w:tcBorders>
            <w:vAlign w:val="center"/>
          </w:tcPr>
          <w:p>
            <w:pPr>
              <w:rPr>
                <w:rFonts w:ascii="宋体" w:hAnsi="宋体" w:cs="宋体"/>
                <w:sz w:val="18"/>
                <w:szCs w:val="18"/>
              </w:rPr>
            </w:pPr>
            <w:r>
              <w:rPr>
                <w:rFonts w:hint="eastAsia"/>
                <w:sz w:val="18"/>
                <w:szCs w:val="18"/>
              </w:rPr>
              <w:t>达到指标目标值得满分；达到80%目标值以上得50%权重分；低于80%目标值不得分</w:t>
            </w:r>
          </w:p>
        </w:tc>
        <w:tc>
          <w:tcPr>
            <w:tcW w:w="3119" w:type="dxa"/>
            <w:tcBorders>
              <w:tl2br w:val="nil"/>
              <w:tr2bl w:val="nil"/>
            </w:tcBorders>
          </w:tcPr>
          <w:p>
            <w:pPr>
              <w:rPr>
                <w:rFonts w:ascii="宋体" w:hAnsi="宋体" w:cs="宋体"/>
                <w:sz w:val="18"/>
                <w:szCs w:val="18"/>
              </w:rPr>
            </w:pPr>
            <w:r>
              <w:rPr>
                <w:rFonts w:hint="eastAsia"/>
                <w:sz w:val="18"/>
                <w:szCs w:val="18"/>
              </w:rPr>
              <w:t>软件安装采购时间</w:t>
            </w:r>
          </w:p>
        </w:tc>
        <w:tc>
          <w:tcPr>
            <w:tcW w:w="567" w:type="dxa"/>
            <w:tcBorders>
              <w:tl2br w:val="nil"/>
              <w:tr2bl w:val="nil"/>
            </w:tcBorders>
            <w:vAlign w:val="center"/>
          </w:tcPr>
          <w:p>
            <w:pPr>
              <w:rPr>
                <w:rFonts w:ascii="宋体" w:hAnsi="宋体" w:cs="宋体"/>
                <w:sz w:val="18"/>
                <w:szCs w:val="18"/>
              </w:rPr>
            </w:pPr>
            <w:r>
              <w:rPr>
                <w:rFonts w:hint="eastAsia"/>
                <w:sz w:val="18"/>
                <w:szCs w:val="18"/>
              </w:rPr>
              <w:t>=</w:t>
            </w:r>
          </w:p>
        </w:tc>
        <w:tc>
          <w:tcPr>
            <w:tcW w:w="567" w:type="dxa"/>
            <w:tcBorders>
              <w:tl2br w:val="nil"/>
              <w:tr2bl w:val="nil"/>
            </w:tcBorders>
            <w:vAlign w:val="center"/>
          </w:tcPr>
          <w:p>
            <w:pPr>
              <w:rPr>
                <w:rFonts w:ascii="宋体" w:hAnsi="宋体" w:cs="宋体"/>
                <w:sz w:val="18"/>
                <w:szCs w:val="18"/>
              </w:rPr>
            </w:pPr>
            <w:r>
              <w:rPr>
                <w:rFonts w:hint="eastAsia"/>
                <w:sz w:val="18"/>
                <w:szCs w:val="18"/>
              </w:rPr>
              <w:t>1</w:t>
            </w:r>
          </w:p>
        </w:tc>
        <w:tc>
          <w:tcPr>
            <w:tcW w:w="567" w:type="dxa"/>
            <w:tcBorders>
              <w:tl2br w:val="nil"/>
              <w:tr2bl w:val="nil"/>
            </w:tcBorders>
            <w:vAlign w:val="center"/>
          </w:tcPr>
          <w:p>
            <w:pPr>
              <w:rPr>
                <w:rFonts w:ascii="宋体" w:hAnsi="宋体" w:cs="宋体"/>
                <w:sz w:val="18"/>
                <w:szCs w:val="18"/>
              </w:rPr>
            </w:pPr>
            <w:r>
              <w:rPr>
                <w:rFonts w:hint="eastAsia"/>
                <w:sz w:val="18"/>
                <w:szCs w:val="18"/>
              </w:rPr>
              <w:t>年</w:t>
            </w:r>
          </w:p>
        </w:tc>
        <w:tc>
          <w:tcPr>
            <w:tcW w:w="992" w:type="dxa"/>
            <w:tcBorders>
              <w:tl2br w:val="nil"/>
              <w:tr2bl w:val="nil"/>
            </w:tcBorders>
            <w:vAlign w:val="center"/>
          </w:tcPr>
          <w:p>
            <w:pPr>
              <w:rPr>
                <w:rFonts w:ascii="宋体" w:hAnsi="宋体" w:cs="宋体"/>
                <w:sz w:val="18"/>
                <w:szCs w:val="18"/>
              </w:rPr>
            </w:pPr>
            <w:r>
              <w:rPr>
                <w:rFonts w:hint="eastAsia"/>
                <w:sz w:val="18"/>
                <w:szCs w:val="18"/>
              </w:rPr>
              <w:t>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2597" w:type="dxa"/>
            <w:tcBorders>
              <w:tl2br w:val="nil"/>
              <w:tr2bl w:val="nil"/>
            </w:tcBorders>
            <w:vAlign w:val="center"/>
          </w:tcPr>
          <w:p>
            <w:pPr>
              <w:rPr>
                <w:rFonts w:ascii="宋体" w:hAnsi="宋体" w:cs="宋体"/>
                <w:sz w:val="18"/>
                <w:szCs w:val="18"/>
              </w:rPr>
            </w:pPr>
            <w:r>
              <w:rPr>
                <w:rFonts w:hint="eastAsia"/>
                <w:sz w:val="18"/>
                <w:szCs w:val="18"/>
              </w:rPr>
              <w:t>身边好人奖励金额</w:t>
            </w:r>
          </w:p>
        </w:tc>
        <w:tc>
          <w:tcPr>
            <w:tcW w:w="5103" w:type="dxa"/>
            <w:tcBorders>
              <w:tl2br w:val="nil"/>
              <w:tr2bl w:val="nil"/>
            </w:tcBorders>
            <w:vAlign w:val="center"/>
          </w:tcPr>
          <w:p>
            <w:pPr>
              <w:rPr>
                <w:rFonts w:ascii="宋体" w:hAnsi="宋体" w:cs="宋体"/>
                <w:sz w:val="18"/>
                <w:szCs w:val="18"/>
              </w:rPr>
            </w:pPr>
            <w:r>
              <w:rPr>
                <w:rFonts w:hint="eastAsia"/>
                <w:sz w:val="18"/>
                <w:szCs w:val="18"/>
              </w:rPr>
              <w:t>按标准发放奖励金得满分，否则本指标不得分</w:t>
            </w:r>
          </w:p>
        </w:tc>
        <w:tc>
          <w:tcPr>
            <w:tcW w:w="3119" w:type="dxa"/>
            <w:tcBorders>
              <w:tl2br w:val="nil"/>
              <w:tr2bl w:val="nil"/>
            </w:tcBorders>
          </w:tcPr>
          <w:p>
            <w:pPr>
              <w:rPr>
                <w:rFonts w:ascii="宋体" w:hAnsi="宋体" w:cs="宋体"/>
                <w:sz w:val="18"/>
                <w:szCs w:val="18"/>
              </w:rPr>
            </w:pPr>
            <w:r>
              <w:rPr>
                <w:rFonts w:hint="eastAsia"/>
                <w:sz w:val="18"/>
                <w:szCs w:val="18"/>
              </w:rPr>
              <w:t>身边好人奖励金额</w:t>
            </w:r>
          </w:p>
        </w:tc>
        <w:tc>
          <w:tcPr>
            <w:tcW w:w="567" w:type="dxa"/>
            <w:tcBorders>
              <w:tl2br w:val="nil"/>
              <w:tr2bl w:val="nil"/>
            </w:tcBorders>
            <w:vAlign w:val="center"/>
          </w:tcPr>
          <w:p>
            <w:pPr>
              <w:rPr>
                <w:rFonts w:ascii="仿宋_GB2312" w:hAnsi="宋体" w:eastAsia="仿宋_GB2312" w:cs="宋体"/>
                <w:sz w:val="20"/>
                <w:szCs w:val="20"/>
              </w:rPr>
            </w:pPr>
            <w:r>
              <w:rPr>
                <w:rFonts w:hint="eastAsia" w:ascii="仿宋_GB2312" w:eastAsia="仿宋_GB2312"/>
                <w:sz w:val="20"/>
                <w:szCs w:val="20"/>
              </w:rPr>
              <w:t>=</w:t>
            </w:r>
          </w:p>
        </w:tc>
        <w:tc>
          <w:tcPr>
            <w:tcW w:w="567" w:type="dxa"/>
            <w:tcBorders>
              <w:tl2br w:val="nil"/>
              <w:tr2bl w:val="nil"/>
            </w:tcBorders>
            <w:vAlign w:val="center"/>
          </w:tcPr>
          <w:p>
            <w:pPr>
              <w:rPr>
                <w:rFonts w:ascii="宋体" w:hAnsi="宋体" w:cs="宋体"/>
                <w:sz w:val="18"/>
                <w:szCs w:val="18"/>
              </w:rPr>
            </w:pPr>
            <w:r>
              <w:rPr>
                <w:rFonts w:hint="eastAsia"/>
                <w:sz w:val="18"/>
                <w:szCs w:val="18"/>
              </w:rPr>
              <w:t>2000</w:t>
            </w:r>
          </w:p>
        </w:tc>
        <w:tc>
          <w:tcPr>
            <w:tcW w:w="567" w:type="dxa"/>
            <w:tcBorders>
              <w:tl2br w:val="nil"/>
              <w:tr2bl w:val="nil"/>
            </w:tcBorders>
            <w:vAlign w:val="center"/>
          </w:tcPr>
          <w:p>
            <w:pPr>
              <w:rPr>
                <w:rFonts w:ascii="宋体" w:hAnsi="宋体" w:cs="宋体"/>
                <w:sz w:val="18"/>
                <w:szCs w:val="18"/>
              </w:rPr>
            </w:pPr>
            <w:r>
              <w:rPr>
                <w:rFonts w:hint="eastAsia"/>
                <w:sz w:val="18"/>
                <w:szCs w:val="18"/>
              </w:rPr>
              <w:t>元</w:t>
            </w:r>
          </w:p>
        </w:tc>
        <w:tc>
          <w:tcPr>
            <w:tcW w:w="992" w:type="dxa"/>
            <w:tcBorders>
              <w:tl2br w:val="nil"/>
              <w:tr2bl w:val="nil"/>
            </w:tcBorders>
            <w:vAlign w:val="center"/>
          </w:tcPr>
          <w:p>
            <w:pPr>
              <w:rPr>
                <w:rFonts w:ascii="宋体" w:hAnsi="宋体" w:cs="宋体"/>
                <w:sz w:val="18"/>
                <w:szCs w:val="18"/>
              </w:rPr>
            </w:pPr>
            <w:r>
              <w:rPr>
                <w:rFonts w:hint="eastAsia"/>
                <w:sz w:val="18"/>
                <w:szCs w:val="18"/>
              </w:rPr>
              <w:t>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2597" w:type="dxa"/>
            <w:tcBorders>
              <w:tl2br w:val="nil"/>
              <w:tr2bl w:val="nil"/>
            </w:tcBorders>
            <w:vAlign w:val="center"/>
          </w:tcPr>
          <w:p>
            <w:pPr>
              <w:rPr>
                <w:rFonts w:ascii="宋体" w:hAnsi="宋体" w:cs="宋体"/>
                <w:sz w:val="18"/>
                <w:szCs w:val="18"/>
              </w:rPr>
            </w:pPr>
            <w:r>
              <w:rPr>
                <w:rFonts w:hint="eastAsia"/>
                <w:sz w:val="18"/>
                <w:szCs w:val="18"/>
              </w:rPr>
              <w:t>单个行政村更新配套农家书屋出版物成本</w:t>
            </w:r>
          </w:p>
        </w:tc>
        <w:tc>
          <w:tcPr>
            <w:tcW w:w="5103" w:type="dxa"/>
            <w:tcBorders>
              <w:tl2br w:val="nil"/>
              <w:tr2bl w:val="nil"/>
            </w:tcBorders>
            <w:vAlign w:val="center"/>
          </w:tcPr>
          <w:p>
            <w:pPr>
              <w:rPr>
                <w:rFonts w:ascii="宋体" w:hAnsi="宋体" w:cs="宋体"/>
                <w:sz w:val="18"/>
                <w:szCs w:val="18"/>
              </w:rPr>
            </w:pPr>
            <w:r>
              <w:rPr>
                <w:rFonts w:hint="eastAsia"/>
                <w:sz w:val="18"/>
                <w:szCs w:val="18"/>
              </w:rPr>
              <w:t>每个按2000元成本配备得满分，否则不得分</w:t>
            </w:r>
          </w:p>
        </w:tc>
        <w:tc>
          <w:tcPr>
            <w:tcW w:w="3119" w:type="dxa"/>
            <w:tcBorders>
              <w:tl2br w:val="nil"/>
              <w:tr2bl w:val="nil"/>
            </w:tcBorders>
          </w:tcPr>
          <w:p>
            <w:pPr>
              <w:rPr>
                <w:rFonts w:ascii="宋体" w:hAnsi="宋体" w:cs="宋体"/>
                <w:sz w:val="18"/>
                <w:szCs w:val="18"/>
              </w:rPr>
            </w:pPr>
            <w:r>
              <w:rPr>
                <w:rFonts w:hint="eastAsia"/>
                <w:sz w:val="18"/>
                <w:szCs w:val="18"/>
              </w:rPr>
              <w:t>单个行政村更新配套出版物情况</w:t>
            </w:r>
          </w:p>
        </w:tc>
        <w:tc>
          <w:tcPr>
            <w:tcW w:w="567" w:type="dxa"/>
            <w:tcBorders>
              <w:tl2br w:val="nil"/>
              <w:tr2bl w:val="nil"/>
            </w:tcBorders>
            <w:vAlign w:val="center"/>
          </w:tcPr>
          <w:p>
            <w:pPr>
              <w:rPr>
                <w:rFonts w:ascii="宋体" w:hAnsi="宋体" w:cs="宋体"/>
                <w:sz w:val="18"/>
                <w:szCs w:val="18"/>
              </w:rPr>
            </w:pPr>
            <w:r>
              <w:rPr>
                <w:rFonts w:hint="eastAsia"/>
                <w:sz w:val="18"/>
                <w:szCs w:val="18"/>
              </w:rPr>
              <w:t>≤</w:t>
            </w:r>
          </w:p>
        </w:tc>
        <w:tc>
          <w:tcPr>
            <w:tcW w:w="567" w:type="dxa"/>
            <w:tcBorders>
              <w:tl2br w:val="nil"/>
              <w:tr2bl w:val="nil"/>
            </w:tcBorders>
            <w:vAlign w:val="center"/>
          </w:tcPr>
          <w:p>
            <w:pPr>
              <w:jc w:val="right"/>
              <w:rPr>
                <w:rFonts w:ascii="宋体" w:hAnsi="宋体" w:cs="宋体"/>
                <w:sz w:val="18"/>
                <w:szCs w:val="18"/>
              </w:rPr>
            </w:pPr>
            <w:r>
              <w:rPr>
                <w:rFonts w:hint="eastAsia"/>
                <w:sz w:val="18"/>
                <w:szCs w:val="18"/>
              </w:rPr>
              <w:t>2000.00</w:t>
            </w:r>
          </w:p>
        </w:tc>
        <w:tc>
          <w:tcPr>
            <w:tcW w:w="567" w:type="dxa"/>
            <w:tcBorders>
              <w:tl2br w:val="nil"/>
              <w:tr2bl w:val="nil"/>
            </w:tcBorders>
            <w:vAlign w:val="center"/>
          </w:tcPr>
          <w:p>
            <w:pPr>
              <w:rPr>
                <w:rFonts w:ascii="仿宋_GB2312" w:hAnsi="宋体" w:eastAsia="仿宋_GB2312" w:cs="宋体"/>
                <w:sz w:val="20"/>
                <w:szCs w:val="20"/>
              </w:rPr>
            </w:pPr>
            <w:r>
              <w:rPr>
                <w:rFonts w:hint="eastAsia" w:ascii="仿宋_GB2312" w:eastAsia="仿宋_GB2312"/>
                <w:sz w:val="20"/>
                <w:szCs w:val="20"/>
              </w:rPr>
              <w:t>元/村</w:t>
            </w:r>
          </w:p>
        </w:tc>
        <w:tc>
          <w:tcPr>
            <w:tcW w:w="992" w:type="dxa"/>
            <w:tcBorders>
              <w:tl2br w:val="nil"/>
              <w:tr2bl w:val="nil"/>
            </w:tcBorders>
            <w:vAlign w:val="center"/>
          </w:tcPr>
          <w:p>
            <w:pPr>
              <w:rPr>
                <w:rFonts w:ascii="宋体" w:hAnsi="宋体" w:cs="宋体"/>
                <w:sz w:val="18"/>
                <w:szCs w:val="18"/>
              </w:rPr>
            </w:pPr>
            <w:r>
              <w:rPr>
                <w:rFonts w:hint="eastAsia"/>
                <w:sz w:val="18"/>
                <w:szCs w:val="18"/>
              </w:rPr>
              <w:t>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2597" w:type="dxa"/>
            <w:tcBorders>
              <w:tl2br w:val="nil"/>
              <w:tr2bl w:val="nil"/>
            </w:tcBorders>
            <w:vAlign w:val="center"/>
          </w:tcPr>
          <w:p>
            <w:pPr>
              <w:rPr>
                <w:rFonts w:ascii="宋体" w:hAnsi="宋体" w:cs="宋体"/>
                <w:sz w:val="18"/>
                <w:szCs w:val="18"/>
              </w:rPr>
            </w:pPr>
            <w:r>
              <w:rPr>
                <w:rFonts w:hint="eastAsia"/>
                <w:sz w:val="18"/>
                <w:szCs w:val="18"/>
              </w:rPr>
              <w:t>农村电影公益放映场次补贴</w:t>
            </w:r>
          </w:p>
        </w:tc>
        <w:tc>
          <w:tcPr>
            <w:tcW w:w="5103" w:type="dxa"/>
            <w:tcBorders>
              <w:tl2br w:val="nil"/>
              <w:tr2bl w:val="nil"/>
            </w:tcBorders>
            <w:vAlign w:val="center"/>
          </w:tcPr>
          <w:p>
            <w:pPr>
              <w:rPr>
                <w:rFonts w:ascii="宋体" w:hAnsi="宋体" w:cs="宋体"/>
                <w:sz w:val="18"/>
                <w:szCs w:val="18"/>
              </w:rPr>
            </w:pPr>
            <w:r>
              <w:rPr>
                <w:rFonts w:hint="eastAsia"/>
                <w:sz w:val="18"/>
                <w:szCs w:val="18"/>
              </w:rPr>
              <w:t>达到指标目标值，得满分；达到80%目标值以上得50%权重分；低于80%目标值不得分</w:t>
            </w:r>
          </w:p>
        </w:tc>
        <w:tc>
          <w:tcPr>
            <w:tcW w:w="3119" w:type="dxa"/>
            <w:tcBorders>
              <w:tl2br w:val="nil"/>
              <w:tr2bl w:val="nil"/>
            </w:tcBorders>
          </w:tcPr>
          <w:p>
            <w:pPr>
              <w:rPr>
                <w:rFonts w:ascii="宋体" w:hAnsi="宋体" w:cs="宋体"/>
                <w:sz w:val="18"/>
                <w:szCs w:val="18"/>
              </w:rPr>
            </w:pPr>
            <w:r>
              <w:rPr>
                <w:rFonts w:hint="eastAsia"/>
                <w:sz w:val="18"/>
                <w:szCs w:val="18"/>
              </w:rPr>
              <w:t>中央、省、县场次补贴成本</w:t>
            </w:r>
          </w:p>
        </w:tc>
        <w:tc>
          <w:tcPr>
            <w:tcW w:w="567" w:type="dxa"/>
            <w:tcBorders>
              <w:tl2br w:val="nil"/>
              <w:tr2bl w:val="nil"/>
            </w:tcBorders>
            <w:vAlign w:val="center"/>
          </w:tcPr>
          <w:p>
            <w:pPr>
              <w:rPr>
                <w:rFonts w:ascii="仿宋_GB2312" w:hAnsi="宋体" w:eastAsia="仿宋_GB2312" w:cs="宋体"/>
                <w:sz w:val="24"/>
                <w:szCs w:val="24"/>
              </w:rPr>
            </w:pPr>
            <w:r>
              <w:rPr>
                <w:rFonts w:hint="eastAsia" w:ascii="仿宋_GB2312" w:eastAsia="仿宋_GB2312"/>
              </w:rPr>
              <w:t>=</w:t>
            </w:r>
          </w:p>
        </w:tc>
        <w:tc>
          <w:tcPr>
            <w:tcW w:w="567" w:type="dxa"/>
            <w:tcBorders>
              <w:tl2br w:val="nil"/>
              <w:tr2bl w:val="nil"/>
            </w:tcBorders>
            <w:vAlign w:val="center"/>
          </w:tcPr>
          <w:p>
            <w:pPr>
              <w:jc w:val="center"/>
              <w:rPr>
                <w:rFonts w:ascii="仿宋_GB2312" w:hAnsi="宋体" w:eastAsia="仿宋_GB2312" w:cs="宋体"/>
                <w:sz w:val="24"/>
                <w:szCs w:val="24"/>
              </w:rPr>
            </w:pPr>
            <w:r>
              <w:rPr>
                <w:rFonts w:hint="eastAsia" w:ascii="仿宋_GB2312" w:eastAsia="仿宋_GB2312"/>
              </w:rPr>
              <w:t>200</w:t>
            </w:r>
          </w:p>
        </w:tc>
        <w:tc>
          <w:tcPr>
            <w:tcW w:w="567" w:type="dxa"/>
            <w:tcBorders>
              <w:tl2br w:val="nil"/>
              <w:tr2bl w:val="nil"/>
            </w:tcBorders>
            <w:vAlign w:val="center"/>
          </w:tcPr>
          <w:p>
            <w:pPr>
              <w:jc w:val="center"/>
              <w:rPr>
                <w:rFonts w:ascii="仿宋_GB2312" w:hAnsi="宋体" w:eastAsia="仿宋_GB2312" w:cs="宋体"/>
                <w:sz w:val="24"/>
                <w:szCs w:val="24"/>
              </w:rPr>
            </w:pPr>
            <w:r>
              <w:rPr>
                <w:rFonts w:hint="eastAsia" w:ascii="仿宋_GB2312" w:eastAsia="仿宋_GB2312"/>
              </w:rPr>
              <w:t>元/场</w:t>
            </w:r>
          </w:p>
        </w:tc>
        <w:tc>
          <w:tcPr>
            <w:tcW w:w="992" w:type="dxa"/>
            <w:tcBorders>
              <w:tl2br w:val="nil"/>
              <w:tr2bl w:val="nil"/>
            </w:tcBorders>
            <w:vAlign w:val="center"/>
          </w:tcPr>
          <w:p>
            <w:pPr>
              <w:rPr>
                <w:rFonts w:ascii="宋体" w:hAnsi="宋体" w:cs="宋体"/>
                <w:color w:val="000000"/>
                <w:sz w:val="22"/>
              </w:rPr>
            </w:pPr>
            <w:r>
              <w:rPr>
                <w:rFonts w:hint="eastAsia"/>
                <w:color w:val="000000"/>
                <w:sz w:val="22"/>
              </w:rPr>
              <w:t>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2597" w:type="dxa"/>
            <w:tcBorders>
              <w:tl2br w:val="nil"/>
              <w:tr2bl w:val="nil"/>
            </w:tcBorders>
            <w:vAlign w:val="center"/>
          </w:tcPr>
          <w:p>
            <w:pPr>
              <w:rPr>
                <w:rFonts w:ascii="宋体" w:hAnsi="宋体" w:cs="宋体"/>
                <w:sz w:val="18"/>
                <w:szCs w:val="18"/>
              </w:rPr>
            </w:pPr>
            <w:r>
              <w:rPr>
                <w:rFonts w:hint="eastAsia"/>
                <w:sz w:val="18"/>
                <w:szCs w:val="18"/>
              </w:rPr>
              <w:t>提升全县人民文明建设</w:t>
            </w:r>
          </w:p>
        </w:tc>
        <w:tc>
          <w:tcPr>
            <w:tcW w:w="5103" w:type="dxa"/>
            <w:tcBorders>
              <w:tl2br w:val="nil"/>
              <w:tr2bl w:val="nil"/>
            </w:tcBorders>
            <w:vAlign w:val="center"/>
          </w:tcPr>
          <w:p>
            <w:pPr>
              <w:rPr>
                <w:rFonts w:ascii="宋体" w:hAnsi="宋体" w:cs="宋体"/>
                <w:color w:val="000000"/>
                <w:sz w:val="22"/>
              </w:rPr>
            </w:pPr>
            <w:r>
              <w:rPr>
                <w:rFonts w:hint="eastAsia"/>
                <w:color w:val="000000"/>
                <w:sz w:val="22"/>
              </w:rPr>
              <w:t>达到指标目标值得满分；达到80%目标值以上得50%权重分；低于80%目标值不得分</w:t>
            </w:r>
          </w:p>
        </w:tc>
        <w:tc>
          <w:tcPr>
            <w:tcW w:w="3119" w:type="dxa"/>
            <w:tcBorders>
              <w:tl2br w:val="nil"/>
              <w:tr2bl w:val="nil"/>
            </w:tcBorders>
            <w:vAlign w:val="center"/>
          </w:tcPr>
          <w:p>
            <w:pPr>
              <w:rPr>
                <w:rFonts w:ascii="宋体" w:hAnsi="宋体" w:cs="宋体"/>
                <w:sz w:val="18"/>
                <w:szCs w:val="18"/>
              </w:rPr>
            </w:pPr>
            <w:r>
              <w:rPr>
                <w:rFonts w:hint="eastAsia"/>
                <w:sz w:val="18"/>
                <w:szCs w:val="18"/>
              </w:rPr>
              <w:t>全县人民创建文明县城情况</w:t>
            </w:r>
          </w:p>
        </w:tc>
        <w:tc>
          <w:tcPr>
            <w:tcW w:w="567" w:type="dxa"/>
            <w:tcBorders>
              <w:tl2br w:val="nil"/>
              <w:tr2bl w:val="nil"/>
            </w:tcBorders>
            <w:vAlign w:val="center"/>
          </w:tcPr>
          <w:p>
            <w:pPr>
              <w:rPr>
                <w:rFonts w:ascii="宋体" w:hAnsi="宋体" w:cs="宋体"/>
                <w:sz w:val="18"/>
                <w:szCs w:val="18"/>
              </w:rPr>
            </w:pPr>
            <w:r>
              <w:rPr>
                <w:rFonts w:hint="eastAsia"/>
                <w:sz w:val="18"/>
                <w:szCs w:val="18"/>
              </w:rPr>
              <w:t>≥</w:t>
            </w:r>
          </w:p>
        </w:tc>
        <w:tc>
          <w:tcPr>
            <w:tcW w:w="567" w:type="dxa"/>
            <w:tcBorders>
              <w:tl2br w:val="nil"/>
              <w:tr2bl w:val="nil"/>
            </w:tcBorders>
            <w:vAlign w:val="center"/>
          </w:tcPr>
          <w:p>
            <w:pPr>
              <w:rPr>
                <w:rFonts w:ascii="宋体" w:hAnsi="宋体" w:cs="宋体"/>
                <w:color w:val="000000" w:themeColor="text1"/>
                <w:sz w:val="20"/>
                <w:szCs w:val="20"/>
              </w:rPr>
            </w:pPr>
            <w:r>
              <w:rPr>
                <w:rFonts w:hint="eastAsia"/>
                <w:color w:val="000000" w:themeColor="text1"/>
                <w:sz w:val="20"/>
                <w:szCs w:val="20"/>
              </w:rPr>
              <w:t>90</w:t>
            </w:r>
          </w:p>
        </w:tc>
        <w:tc>
          <w:tcPr>
            <w:tcW w:w="567" w:type="dxa"/>
            <w:tcBorders>
              <w:tl2br w:val="nil"/>
              <w:tr2bl w:val="nil"/>
            </w:tcBorders>
            <w:vAlign w:val="center"/>
          </w:tcPr>
          <w:p>
            <w:pPr>
              <w:rPr>
                <w:rFonts w:ascii="仿宋_GB2312" w:hAnsi="宋体" w:eastAsia="仿宋_GB2312" w:cs="宋体"/>
                <w:sz w:val="20"/>
                <w:szCs w:val="20"/>
              </w:rPr>
            </w:pPr>
            <w:r>
              <w:rPr>
                <w:rFonts w:hint="eastAsia" w:ascii="仿宋_GB2312" w:eastAsia="仿宋_GB2312"/>
                <w:sz w:val="20"/>
                <w:szCs w:val="20"/>
              </w:rPr>
              <w:t>%</w:t>
            </w:r>
          </w:p>
        </w:tc>
        <w:tc>
          <w:tcPr>
            <w:tcW w:w="992" w:type="dxa"/>
            <w:tcBorders>
              <w:tl2br w:val="nil"/>
              <w:tr2bl w:val="nil"/>
            </w:tcBorders>
            <w:vAlign w:val="center"/>
          </w:tcPr>
          <w:p>
            <w:pPr>
              <w:rPr>
                <w:rFonts w:ascii="仿宋_GB2312" w:hAnsi="宋体" w:eastAsia="仿宋_GB2312" w:cs="宋体"/>
                <w:sz w:val="20"/>
                <w:szCs w:val="20"/>
              </w:rPr>
            </w:pPr>
            <w:r>
              <w:rPr>
                <w:rFonts w:hint="eastAsia" w:ascii="仿宋_GB2312" w:eastAsia="仿宋_GB2312"/>
                <w:sz w:val="20"/>
                <w:szCs w:val="20"/>
              </w:rPr>
              <w:t>走访调查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trPr>
        <w:tc>
          <w:tcPr>
            <w:tcW w:w="558" w:type="dxa"/>
            <w:vMerge w:val="continue"/>
            <w:tcBorders>
              <w:tl2br w:val="nil"/>
              <w:tr2bl w:val="nil"/>
            </w:tcBorders>
            <w:vAlign w:val="center"/>
          </w:tcPr>
          <w:p/>
        </w:tc>
        <w:tc>
          <w:tcPr>
            <w:tcW w:w="825"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2597" w:type="dxa"/>
            <w:tcBorders>
              <w:tl2br w:val="nil"/>
              <w:tr2bl w:val="nil"/>
            </w:tcBorders>
            <w:vAlign w:val="center"/>
          </w:tcPr>
          <w:p>
            <w:pPr>
              <w:rPr>
                <w:rFonts w:ascii="宋体" w:hAnsi="宋体" w:cs="宋体"/>
                <w:sz w:val="18"/>
                <w:szCs w:val="18"/>
              </w:rPr>
            </w:pPr>
            <w:r>
              <w:rPr>
                <w:rFonts w:hint="eastAsia"/>
                <w:sz w:val="18"/>
                <w:szCs w:val="18"/>
              </w:rPr>
              <w:t>报刊续订覆盖率</w:t>
            </w:r>
          </w:p>
        </w:tc>
        <w:tc>
          <w:tcPr>
            <w:tcW w:w="5103" w:type="dxa"/>
            <w:tcBorders>
              <w:tl2br w:val="nil"/>
              <w:tr2bl w:val="nil"/>
            </w:tcBorders>
            <w:vAlign w:val="center"/>
          </w:tcPr>
          <w:p>
            <w:pPr>
              <w:rPr>
                <w:rFonts w:ascii="宋体" w:hAnsi="宋体" w:cs="宋体"/>
                <w:sz w:val="18"/>
                <w:szCs w:val="18"/>
              </w:rPr>
            </w:pPr>
            <w:r>
              <w:rPr>
                <w:rFonts w:hint="eastAsia"/>
                <w:sz w:val="18"/>
                <w:szCs w:val="18"/>
              </w:rPr>
              <w:t>续订覆盖率达90%以上得满分，未达到本指标不得分</w:t>
            </w:r>
          </w:p>
        </w:tc>
        <w:tc>
          <w:tcPr>
            <w:tcW w:w="3119" w:type="dxa"/>
            <w:tcBorders>
              <w:tl2br w:val="nil"/>
              <w:tr2bl w:val="nil"/>
            </w:tcBorders>
          </w:tcPr>
          <w:p>
            <w:pPr>
              <w:rPr>
                <w:rFonts w:ascii="宋体" w:hAnsi="宋体" w:cs="宋体"/>
                <w:sz w:val="18"/>
                <w:szCs w:val="18"/>
              </w:rPr>
            </w:pPr>
            <w:r>
              <w:rPr>
                <w:rFonts w:hint="eastAsia"/>
                <w:sz w:val="18"/>
                <w:szCs w:val="18"/>
              </w:rPr>
              <w:t>续订报刊的读者占比率</w:t>
            </w:r>
          </w:p>
        </w:tc>
        <w:tc>
          <w:tcPr>
            <w:tcW w:w="567" w:type="dxa"/>
            <w:tcBorders>
              <w:tl2br w:val="nil"/>
              <w:tr2bl w:val="nil"/>
            </w:tcBorders>
            <w:vAlign w:val="center"/>
          </w:tcPr>
          <w:p>
            <w:pPr>
              <w:rPr>
                <w:rFonts w:ascii="宋体" w:hAnsi="宋体" w:cs="宋体"/>
                <w:sz w:val="18"/>
                <w:szCs w:val="18"/>
              </w:rPr>
            </w:pPr>
            <w:r>
              <w:rPr>
                <w:rFonts w:hint="eastAsia"/>
                <w:sz w:val="18"/>
                <w:szCs w:val="18"/>
              </w:rPr>
              <w:t>≥</w:t>
            </w:r>
          </w:p>
        </w:tc>
        <w:tc>
          <w:tcPr>
            <w:tcW w:w="567" w:type="dxa"/>
            <w:tcBorders>
              <w:tl2br w:val="nil"/>
              <w:tr2bl w:val="nil"/>
            </w:tcBorders>
            <w:vAlign w:val="center"/>
          </w:tcPr>
          <w:p>
            <w:pPr>
              <w:rPr>
                <w:rFonts w:ascii="宋体" w:hAnsi="宋体" w:cs="宋体"/>
                <w:color w:val="000000" w:themeColor="text1"/>
                <w:sz w:val="18"/>
                <w:szCs w:val="18"/>
              </w:rPr>
            </w:pPr>
            <w:r>
              <w:rPr>
                <w:rFonts w:hint="eastAsia"/>
                <w:color w:val="000000" w:themeColor="text1"/>
                <w:sz w:val="18"/>
                <w:szCs w:val="18"/>
              </w:rPr>
              <w:t>90.00</w:t>
            </w:r>
          </w:p>
        </w:tc>
        <w:tc>
          <w:tcPr>
            <w:tcW w:w="567" w:type="dxa"/>
            <w:tcBorders>
              <w:tl2br w:val="nil"/>
              <w:tr2bl w:val="nil"/>
            </w:tcBorders>
            <w:vAlign w:val="center"/>
          </w:tcPr>
          <w:p>
            <w:pPr>
              <w:rPr>
                <w:rFonts w:ascii="仿宋_GB2312" w:hAnsi="宋体" w:eastAsia="仿宋_GB2312" w:cs="宋体"/>
                <w:sz w:val="20"/>
                <w:szCs w:val="20"/>
              </w:rPr>
            </w:pPr>
            <w:r>
              <w:rPr>
                <w:rFonts w:hint="eastAsia" w:ascii="仿宋_GB2312" w:eastAsia="仿宋_GB2312"/>
                <w:sz w:val="20"/>
                <w:szCs w:val="20"/>
              </w:rPr>
              <w:t>%</w:t>
            </w:r>
          </w:p>
        </w:tc>
        <w:tc>
          <w:tcPr>
            <w:tcW w:w="992" w:type="dxa"/>
            <w:tcBorders>
              <w:tl2br w:val="nil"/>
              <w:tr2bl w:val="nil"/>
            </w:tcBorders>
            <w:vAlign w:val="center"/>
          </w:tcPr>
          <w:p>
            <w:pPr>
              <w:rPr>
                <w:rFonts w:ascii="宋体" w:hAnsi="宋体" w:cs="宋体"/>
                <w:sz w:val="18"/>
                <w:szCs w:val="18"/>
              </w:rPr>
            </w:pPr>
            <w:r>
              <w:rPr>
                <w:rFonts w:hint="eastAsia"/>
                <w:sz w:val="18"/>
                <w:szCs w:val="18"/>
              </w:rPr>
              <w:t>工作需求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trPr>
        <w:tc>
          <w:tcPr>
            <w:tcW w:w="558" w:type="dxa"/>
            <w:vMerge w:val="continue"/>
            <w:tcBorders>
              <w:tl2br w:val="nil"/>
              <w:tr2bl w:val="nil"/>
            </w:tcBorders>
            <w:vAlign w:val="center"/>
          </w:tcPr>
          <w:p/>
        </w:tc>
        <w:tc>
          <w:tcPr>
            <w:tcW w:w="825"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满意度</w:t>
            </w:r>
          </w:p>
        </w:tc>
        <w:tc>
          <w:tcPr>
            <w:tcW w:w="2597" w:type="dxa"/>
            <w:tcBorders>
              <w:tl2br w:val="nil"/>
              <w:tr2bl w:val="nil"/>
            </w:tcBorders>
            <w:vAlign w:val="center"/>
          </w:tcPr>
          <w:p>
            <w:pPr>
              <w:rPr>
                <w:rFonts w:ascii="宋体" w:hAnsi="宋体" w:cs="宋体"/>
                <w:sz w:val="18"/>
                <w:szCs w:val="18"/>
              </w:rPr>
            </w:pPr>
            <w:r>
              <w:rPr>
                <w:rFonts w:hint="eastAsia"/>
                <w:sz w:val="18"/>
                <w:szCs w:val="18"/>
              </w:rPr>
              <w:t>群众满意度</w:t>
            </w:r>
          </w:p>
        </w:tc>
        <w:tc>
          <w:tcPr>
            <w:tcW w:w="5103" w:type="dxa"/>
            <w:tcBorders>
              <w:tl2br w:val="nil"/>
              <w:tr2bl w:val="nil"/>
            </w:tcBorders>
            <w:vAlign w:val="center"/>
          </w:tcPr>
          <w:p>
            <w:pPr>
              <w:rPr>
                <w:rFonts w:ascii="宋体" w:hAnsi="宋体" w:cs="宋体"/>
                <w:color w:val="000000"/>
                <w:sz w:val="22"/>
              </w:rPr>
            </w:pPr>
            <w:r>
              <w:rPr>
                <w:rFonts w:hint="eastAsia"/>
                <w:color w:val="000000"/>
                <w:sz w:val="22"/>
              </w:rPr>
              <w:t>达到指标目标值得满分；达到80%目标值以上得50%权重分；低于80%目标值不得分</w:t>
            </w:r>
          </w:p>
        </w:tc>
        <w:tc>
          <w:tcPr>
            <w:tcW w:w="3119" w:type="dxa"/>
            <w:tcBorders>
              <w:tl2br w:val="nil"/>
              <w:tr2bl w:val="nil"/>
            </w:tcBorders>
          </w:tcPr>
          <w:p>
            <w:pPr>
              <w:rPr>
                <w:rFonts w:ascii="宋体" w:hAnsi="宋体" w:cs="宋体"/>
                <w:sz w:val="18"/>
                <w:szCs w:val="18"/>
              </w:rPr>
            </w:pPr>
            <w:r>
              <w:rPr>
                <w:rFonts w:hint="eastAsia"/>
                <w:sz w:val="18"/>
                <w:szCs w:val="18"/>
              </w:rPr>
              <w:t>群众对本部门各项工作的满意程度</w:t>
            </w:r>
          </w:p>
        </w:tc>
        <w:tc>
          <w:tcPr>
            <w:tcW w:w="567" w:type="dxa"/>
            <w:tcBorders>
              <w:tl2br w:val="nil"/>
              <w:tr2bl w:val="nil"/>
            </w:tcBorders>
            <w:vAlign w:val="center"/>
          </w:tcPr>
          <w:p>
            <w:pPr>
              <w:rPr>
                <w:rFonts w:ascii="宋体" w:hAnsi="宋体" w:cs="宋体"/>
                <w:sz w:val="18"/>
                <w:szCs w:val="18"/>
              </w:rPr>
            </w:pPr>
            <w:r>
              <w:rPr>
                <w:rFonts w:hint="eastAsia"/>
                <w:sz w:val="18"/>
                <w:szCs w:val="18"/>
              </w:rPr>
              <w:t>≥</w:t>
            </w:r>
          </w:p>
        </w:tc>
        <w:tc>
          <w:tcPr>
            <w:tcW w:w="567" w:type="dxa"/>
            <w:tcBorders>
              <w:tl2br w:val="nil"/>
              <w:tr2bl w:val="nil"/>
            </w:tcBorders>
            <w:vAlign w:val="center"/>
          </w:tcPr>
          <w:p>
            <w:pPr>
              <w:rPr>
                <w:rFonts w:ascii="宋体" w:hAnsi="宋体" w:cs="宋体"/>
                <w:color w:val="000000" w:themeColor="text1"/>
                <w:sz w:val="20"/>
                <w:szCs w:val="20"/>
              </w:rPr>
            </w:pPr>
            <w:r>
              <w:rPr>
                <w:rFonts w:hint="eastAsia"/>
                <w:color w:val="000000" w:themeColor="text1"/>
                <w:sz w:val="20"/>
                <w:szCs w:val="20"/>
              </w:rPr>
              <w:t>90</w:t>
            </w:r>
          </w:p>
        </w:tc>
        <w:tc>
          <w:tcPr>
            <w:tcW w:w="567" w:type="dxa"/>
            <w:tcBorders>
              <w:tl2br w:val="nil"/>
              <w:tr2bl w:val="nil"/>
            </w:tcBorders>
            <w:vAlign w:val="center"/>
          </w:tcPr>
          <w:p>
            <w:pPr>
              <w:rPr>
                <w:rFonts w:ascii="仿宋_GB2312" w:hAnsi="宋体" w:eastAsia="仿宋_GB2312" w:cs="宋体"/>
                <w:sz w:val="20"/>
                <w:szCs w:val="20"/>
              </w:rPr>
            </w:pPr>
            <w:r>
              <w:rPr>
                <w:rFonts w:hint="eastAsia" w:ascii="仿宋_GB2312" w:eastAsia="仿宋_GB2312"/>
                <w:sz w:val="20"/>
                <w:szCs w:val="20"/>
              </w:rPr>
              <w:t>%</w:t>
            </w:r>
          </w:p>
        </w:tc>
        <w:tc>
          <w:tcPr>
            <w:tcW w:w="992" w:type="dxa"/>
            <w:tcBorders>
              <w:tl2br w:val="nil"/>
              <w:tr2bl w:val="nil"/>
            </w:tcBorders>
            <w:vAlign w:val="center"/>
          </w:tcPr>
          <w:p>
            <w:pPr>
              <w:rPr>
                <w:rFonts w:ascii="仿宋_GB2312" w:hAnsi="宋体" w:eastAsia="仿宋_GB2312" w:cs="宋体"/>
                <w:sz w:val="20"/>
                <w:szCs w:val="20"/>
              </w:rPr>
            </w:pPr>
            <w:r>
              <w:rPr>
                <w:rFonts w:hint="eastAsia" w:ascii="仿宋_GB2312" w:eastAsia="仿宋_GB2312"/>
                <w:sz w:val="20"/>
                <w:szCs w:val="20"/>
              </w:rPr>
              <w:t>走访调查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trPr>
        <w:tc>
          <w:tcPr>
            <w:tcW w:w="558" w:type="dxa"/>
            <w:vMerge w:val="continue"/>
            <w:tcBorders>
              <w:tl2br w:val="nil"/>
              <w:tr2bl w:val="nil"/>
            </w:tcBorders>
            <w:vAlign w:val="center"/>
          </w:tcPr>
          <w:p/>
        </w:tc>
        <w:tc>
          <w:tcPr>
            <w:tcW w:w="825" w:type="dxa"/>
            <w:vMerge w:val="continue"/>
            <w:tcBorders>
              <w:tl2br w:val="nil"/>
              <w:tr2bl w:val="nil"/>
            </w:tcBorders>
            <w:vAlign w:val="center"/>
          </w:tcPr>
          <w:p>
            <w:pPr>
              <w:adjustRightInd w:val="0"/>
              <w:snapToGrid w:val="0"/>
              <w:jc w:val="center"/>
              <w:rPr>
                <w:rFonts w:ascii="方正书宋_GBK" w:eastAsia="方正书宋_GBK"/>
              </w:rPr>
            </w:pPr>
          </w:p>
        </w:tc>
        <w:tc>
          <w:tcPr>
            <w:tcW w:w="2597" w:type="dxa"/>
            <w:tcBorders>
              <w:tl2br w:val="nil"/>
              <w:tr2bl w:val="nil"/>
            </w:tcBorders>
            <w:noWrap/>
            <w:vAlign w:val="center"/>
          </w:tcPr>
          <w:p>
            <w:pPr>
              <w:rPr>
                <w:rFonts w:ascii="宋体" w:hAnsi="宋体" w:cs="宋体"/>
                <w:sz w:val="18"/>
                <w:szCs w:val="18"/>
              </w:rPr>
            </w:pPr>
            <w:r>
              <w:rPr>
                <w:rFonts w:hint="eastAsia"/>
                <w:sz w:val="18"/>
                <w:szCs w:val="18"/>
              </w:rPr>
              <w:t>群众对农家书屋综合满意度</w:t>
            </w:r>
          </w:p>
        </w:tc>
        <w:tc>
          <w:tcPr>
            <w:tcW w:w="5103" w:type="dxa"/>
            <w:tcBorders>
              <w:tl2br w:val="nil"/>
              <w:tr2bl w:val="nil"/>
            </w:tcBorders>
            <w:noWrap/>
            <w:vAlign w:val="center"/>
          </w:tcPr>
          <w:p>
            <w:pPr>
              <w:rPr>
                <w:rFonts w:ascii="宋体" w:hAnsi="宋体" w:cs="宋体"/>
                <w:sz w:val="18"/>
                <w:szCs w:val="18"/>
              </w:rPr>
            </w:pPr>
            <w:r>
              <w:rPr>
                <w:rFonts w:hint="eastAsia"/>
                <w:sz w:val="18"/>
                <w:szCs w:val="18"/>
              </w:rPr>
              <w:t>满意度达90%得满分</w:t>
            </w:r>
          </w:p>
        </w:tc>
        <w:tc>
          <w:tcPr>
            <w:tcW w:w="3119" w:type="dxa"/>
            <w:tcBorders>
              <w:tl2br w:val="nil"/>
              <w:tr2bl w:val="nil"/>
            </w:tcBorders>
            <w:noWrap/>
          </w:tcPr>
          <w:p>
            <w:pPr>
              <w:rPr>
                <w:rFonts w:ascii="宋体" w:hAnsi="宋体" w:cs="宋体"/>
                <w:sz w:val="18"/>
                <w:szCs w:val="18"/>
              </w:rPr>
            </w:pPr>
            <w:r>
              <w:rPr>
                <w:rFonts w:hint="eastAsia"/>
                <w:sz w:val="18"/>
                <w:szCs w:val="18"/>
              </w:rPr>
              <w:t>群众对农家书屋综合满意度</w:t>
            </w:r>
          </w:p>
        </w:tc>
        <w:tc>
          <w:tcPr>
            <w:tcW w:w="567" w:type="dxa"/>
            <w:tcBorders>
              <w:tl2br w:val="nil"/>
              <w:tr2bl w:val="nil"/>
            </w:tcBorders>
            <w:vAlign w:val="center"/>
          </w:tcPr>
          <w:p>
            <w:pPr>
              <w:rPr>
                <w:rFonts w:ascii="宋体" w:hAnsi="宋体" w:cs="宋体"/>
                <w:sz w:val="18"/>
                <w:szCs w:val="18"/>
              </w:rPr>
            </w:pPr>
            <w:r>
              <w:rPr>
                <w:rFonts w:hint="eastAsia"/>
                <w:sz w:val="18"/>
                <w:szCs w:val="18"/>
              </w:rPr>
              <w:t>≥</w:t>
            </w:r>
          </w:p>
        </w:tc>
        <w:tc>
          <w:tcPr>
            <w:tcW w:w="567" w:type="dxa"/>
            <w:tcBorders>
              <w:tl2br w:val="nil"/>
              <w:tr2bl w:val="nil"/>
            </w:tcBorders>
            <w:vAlign w:val="center"/>
          </w:tcPr>
          <w:p>
            <w:pPr>
              <w:rPr>
                <w:rFonts w:ascii="仿宋_GB2312" w:hAnsi="宋体" w:eastAsia="仿宋_GB2312" w:cs="宋体"/>
                <w:sz w:val="20"/>
                <w:szCs w:val="20"/>
              </w:rPr>
            </w:pPr>
            <w:r>
              <w:rPr>
                <w:rFonts w:hint="eastAsia" w:ascii="仿宋_GB2312" w:eastAsia="仿宋_GB2312"/>
                <w:sz w:val="20"/>
                <w:szCs w:val="20"/>
              </w:rPr>
              <w:t>90</w:t>
            </w:r>
          </w:p>
        </w:tc>
        <w:tc>
          <w:tcPr>
            <w:tcW w:w="567" w:type="dxa"/>
            <w:tcBorders>
              <w:tl2br w:val="nil"/>
              <w:tr2bl w:val="nil"/>
            </w:tcBorders>
            <w:vAlign w:val="center"/>
          </w:tcPr>
          <w:p>
            <w:pPr>
              <w:rPr>
                <w:rFonts w:ascii="仿宋_GB2312" w:hAnsi="宋体" w:eastAsia="仿宋_GB2312" w:cs="宋体"/>
                <w:sz w:val="20"/>
                <w:szCs w:val="20"/>
              </w:rPr>
            </w:pPr>
            <w:r>
              <w:rPr>
                <w:rFonts w:hint="eastAsia" w:ascii="仿宋_GB2312" w:eastAsia="仿宋_GB2312"/>
                <w:sz w:val="20"/>
                <w:szCs w:val="20"/>
              </w:rPr>
              <w:t>%</w:t>
            </w:r>
          </w:p>
        </w:tc>
        <w:tc>
          <w:tcPr>
            <w:tcW w:w="992" w:type="dxa"/>
            <w:tcBorders>
              <w:tl2br w:val="nil"/>
              <w:tr2bl w:val="nil"/>
            </w:tcBorders>
            <w:vAlign w:val="center"/>
          </w:tcPr>
          <w:p>
            <w:pPr>
              <w:rPr>
                <w:rFonts w:ascii="仿宋_GB2312" w:hAnsi="宋体" w:eastAsia="仿宋_GB2312" w:cs="宋体"/>
                <w:sz w:val="20"/>
                <w:szCs w:val="20"/>
              </w:rPr>
            </w:pPr>
            <w:r>
              <w:rPr>
                <w:rFonts w:hint="eastAsia" w:ascii="仿宋_GB2312" w:eastAsia="仿宋_GB2312"/>
                <w:sz w:val="20"/>
                <w:szCs w:val="20"/>
              </w:rPr>
              <w:t>走访调查</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pPr>
      <w:r>
        <w:rPr>
          <w:rFonts w:ascii="方正仿宋_GBK" w:hAnsi="方正仿宋_GBK" w:eastAsia="方正仿宋_GBK" w:cs="方正仿宋_GBK"/>
          <w:b/>
          <w:color w:val="000000"/>
          <w:sz w:val="28"/>
        </w:rPr>
        <w:t>1、版权服务站工作经费绩效目标表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1.大力发展少数民族地区版权产业，开放作品版权登记平台端口</w:t>
            </w:r>
          </w:p>
          <w:p>
            <w:pPr>
              <w:pStyle w:val="19"/>
            </w:pPr>
            <w:r>
              <w:t>2.完成版权服务站筹建工作</w:t>
            </w:r>
          </w:p>
          <w:p>
            <w:pPr>
              <w:pStyle w:val="19"/>
            </w:pPr>
            <w:r>
              <w:t>3.进一步提升当地版权服务和版权保护水平，助力版权产业发展</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组织宣传活动次数</w:t>
            </w:r>
          </w:p>
        </w:tc>
        <w:tc>
          <w:tcPr>
            <w:tcW w:w="2835" w:type="dxa"/>
            <w:vAlign w:val="center"/>
          </w:tcPr>
          <w:p>
            <w:pPr>
              <w:pStyle w:val="19"/>
            </w:pPr>
            <w:r>
              <w:t>组织宣传活动次数</w:t>
            </w:r>
          </w:p>
        </w:tc>
        <w:tc>
          <w:tcPr>
            <w:tcW w:w="2551" w:type="dxa"/>
            <w:vAlign w:val="center"/>
          </w:tcPr>
          <w:p>
            <w:pPr>
              <w:pStyle w:val="19"/>
            </w:pPr>
            <w:r>
              <w:t>≥3次</w:t>
            </w:r>
          </w:p>
        </w:tc>
        <w:tc>
          <w:tcPr>
            <w:tcW w:w="2268" w:type="dxa"/>
            <w:vAlign w:val="center"/>
          </w:tcPr>
          <w:p>
            <w:pPr>
              <w:pStyle w:val="19"/>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版权登记知晓率</w:t>
            </w:r>
          </w:p>
        </w:tc>
        <w:tc>
          <w:tcPr>
            <w:tcW w:w="2835" w:type="dxa"/>
            <w:vAlign w:val="center"/>
          </w:tcPr>
          <w:p>
            <w:pPr>
              <w:pStyle w:val="19"/>
            </w:pPr>
            <w:r>
              <w:t>版权登记知晓情况</w:t>
            </w:r>
          </w:p>
        </w:tc>
        <w:tc>
          <w:tcPr>
            <w:tcW w:w="2551" w:type="dxa"/>
            <w:vAlign w:val="center"/>
          </w:tcPr>
          <w:p>
            <w:pPr>
              <w:pStyle w:val="19"/>
            </w:pPr>
            <w:r>
              <w:t>≥90%</w:t>
            </w:r>
          </w:p>
        </w:tc>
        <w:tc>
          <w:tcPr>
            <w:tcW w:w="2268" w:type="dxa"/>
            <w:vAlign w:val="center"/>
          </w:tcPr>
          <w:p>
            <w:pPr>
              <w:pStyle w:val="19"/>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宣传活动完成及时性</w:t>
            </w:r>
          </w:p>
        </w:tc>
        <w:tc>
          <w:tcPr>
            <w:tcW w:w="2835" w:type="dxa"/>
            <w:vAlign w:val="center"/>
          </w:tcPr>
          <w:p>
            <w:pPr>
              <w:pStyle w:val="19"/>
            </w:pPr>
            <w:r>
              <w:t>项目完成时间</w:t>
            </w:r>
          </w:p>
        </w:tc>
        <w:tc>
          <w:tcPr>
            <w:tcW w:w="2551" w:type="dxa"/>
            <w:vAlign w:val="center"/>
          </w:tcPr>
          <w:p>
            <w:pPr>
              <w:pStyle w:val="19"/>
            </w:pPr>
            <w:r>
              <w:t>1年</w:t>
            </w:r>
          </w:p>
        </w:tc>
        <w:tc>
          <w:tcPr>
            <w:tcW w:w="2268" w:type="dxa"/>
            <w:vAlign w:val="center"/>
          </w:tcPr>
          <w:p>
            <w:pPr>
              <w:pStyle w:val="19"/>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单次宣传活动成本</w:t>
            </w:r>
          </w:p>
        </w:tc>
        <w:tc>
          <w:tcPr>
            <w:tcW w:w="2835" w:type="dxa"/>
            <w:vAlign w:val="center"/>
          </w:tcPr>
          <w:p>
            <w:pPr>
              <w:pStyle w:val="19"/>
            </w:pPr>
            <w:r>
              <w:t>单次宣传活动支出情况</w:t>
            </w:r>
          </w:p>
        </w:tc>
        <w:tc>
          <w:tcPr>
            <w:tcW w:w="2551" w:type="dxa"/>
            <w:vAlign w:val="center"/>
          </w:tcPr>
          <w:p>
            <w:pPr>
              <w:pStyle w:val="19"/>
            </w:pPr>
            <w:r>
              <w:t>≤2.5万元/次</w:t>
            </w:r>
          </w:p>
        </w:tc>
        <w:tc>
          <w:tcPr>
            <w:tcW w:w="2268" w:type="dxa"/>
            <w:vAlign w:val="center"/>
          </w:tcPr>
          <w:p>
            <w:pPr>
              <w:pStyle w:val="19"/>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效益指标</w:t>
            </w:r>
          </w:p>
        </w:tc>
        <w:tc>
          <w:tcPr>
            <w:tcW w:w="2268" w:type="dxa"/>
            <w:vAlign w:val="center"/>
          </w:tcPr>
          <w:p>
            <w:pPr>
              <w:pStyle w:val="19"/>
            </w:pPr>
            <w:r>
              <w:t>社会效益指标</w:t>
            </w:r>
          </w:p>
        </w:tc>
        <w:tc>
          <w:tcPr>
            <w:tcW w:w="2835" w:type="dxa"/>
            <w:vAlign w:val="center"/>
          </w:tcPr>
          <w:p>
            <w:pPr>
              <w:pStyle w:val="19"/>
            </w:pPr>
            <w:r>
              <w:t>提升当地版权服务和版权保护水平</w:t>
            </w:r>
          </w:p>
        </w:tc>
        <w:tc>
          <w:tcPr>
            <w:tcW w:w="2835" w:type="dxa"/>
            <w:vAlign w:val="center"/>
          </w:tcPr>
          <w:p>
            <w:pPr>
              <w:pStyle w:val="19"/>
            </w:pPr>
            <w:r>
              <w:t>当地版权服务和版权保护水平情况</w:t>
            </w:r>
          </w:p>
        </w:tc>
        <w:tc>
          <w:tcPr>
            <w:tcW w:w="2551" w:type="dxa"/>
            <w:vAlign w:val="center"/>
          </w:tcPr>
          <w:p>
            <w:pPr>
              <w:pStyle w:val="19"/>
            </w:pPr>
            <w:r>
              <w:t>有效提升</w:t>
            </w:r>
          </w:p>
        </w:tc>
        <w:tc>
          <w:tcPr>
            <w:tcW w:w="2268" w:type="dxa"/>
            <w:vAlign w:val="center"/>
          </w:tcPr>
          <w:p>
            <w:pPr>
              <w:pStyle w:val="19"/>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可持续影响指标</w:t>
            </w:r>
          </w:p>
        </w:tc>
        <w:tc>
          <w:tcPr>
            <w:tcW w:w="2835" w:type="dxa"/>
            <w:vAlign w:val="center"/>
          </w:tcPr>
          <w:p>
            <w:pPr>
              <w:pStyle w:val="19"/>
            </w:pPr>
            <w:r>
              <w:t>助力文化产业发展</w:t>
            </w:r>
          </w:p>
        </w:tc>
        <w:tc>
          <w:tcPr>
            <w:tcW w:w="2835" w:type="dxa"/>
            <w:vAlign w:val="center"/>
          </w:tcPr>
          <w:p>
            <w:pPr>
              <w:pStyle w:val="19"/>
            </w:pPr>
            <w:r>
              <w:t>助力文化产业发展</w:t>
            </w:r>
          </w:p>
        </w:tc>
        <w:tc>
          <w:tcPr>
            <w:tcW w:w="2551" w:type="dxa"/>
            <w:vAlign w:val="center"/>
          </w:tcPr>
          <w:p>
            <w:pPr>
              <w:pStyle w:val="19"/>
            </w:pPr>
            <w:r>
              <w:t>有效提升</w:t>
            </w:r>
          </w:p>
        </w:tc>
        <w:tc>
          <w:tcPr>
            <w:tcW w:w="2268" w:type="dxa"/>
            <w:vAlign w:val="center"/>
          </w:tcPr>
          <w:p>
            <w:pPr>
              <w:pStyle w:val="19"/>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服务对象满意度</w:t>
            </w:r>
          </w:p>
        </w:tc>
        <w:tc>
          <w:tcPr>
            <w:tcW w:w="2835" w:type="dxa"/>
            <w:vAlign w:val="center"/>
          </w:tcPr>
          <w:p>
            <w:pPr>
              <w:pStyle w:val="19"/>
            </w:pPr>
            <w:r>
              <w:t>服务对象满意度</w:t>
            </w:r>
          </w:p>
        </w:tc>
        <w:tc>
          <w:tcPr>
            <w:tcW w:w="2551" w:type="dxa"/>
            <w:vAlign w:val="center"/>
          </w:tcPr>
          <w:p>
            <w:pPr>
              <w:pStyle w:val="19"/>
            </w:pPr>
            <w:r>
              <w:t>≥90%</w:t>
            </w:r>
          </w:p>
        </w:tc>
        <w:tc>
          <w:tcPr>
            <w:tcW w:w="2268" w:type="dxa"/>
            <w:vAlign w:val="center"/>
          </w:tcPr>
          <w:p>
            <w:pPr>
              <w:pStyle w:val="19"/>
            </w:pPr>
            <w:r>
              <w:t>走访调查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2、创建全国文明县城经费绩效目标表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1.弘扬中华优秀传统文化、弘扬雷锋精神、加强诚信教育、培育勤劳节俭观念、传承孝道和敬老风尚、倡导文明旅游、宣传保护生态环境</w:t>
            </w:r>
          </w:p>
          <w:p>
            <w:pPr>
              <w:pStyle w:val="19"/>
            </w:pPr>
            <w:r>
              <w:t>2.为创城升温造势，提高群众知晓率、支持率、参与率和满意度，在全社会营造人人参与创建的良好氛围</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组织宣传活动次数</w:t>
            </w:r>
          </w:p>
        </w:tc>
        <w:tc>
          <w:tcPr>
            <w:tcW w:w="2835" w:type="dxa"/>
            <w:vAlign w:val="center"/>
          </w:tcPr>
          <w:p>
            <w:pPr>
              <w:pStyle w:val="19"/>
            </w:pPr>
            <w:r>
              <w:t>组织宣传活动次数</w:t>
            </w:r>
          </w:p>
        </w:tc>
        <w:tc>
          <w:tcPr>
            <w:tcW w:w="2551" w:type="dxa"/>
            <w:vAlign w:val="center"/>
          </w:tcPr>
          <w:p>
            <w:pPr>
              <w:pStyle w:val="19"/>
            </w:pPr>
            <w:r>
              <w:t>≥10次</w:t>
            </w:r>
          </w:p>
        </w:tc>
        <w:tc>
          <w:tcPr>
            <w:tcW w:w="2268" w:type="dxa"/>
            <w:vAlign w:val="center"/>
          </w:tcPr>
          <w:p>
            <w:pPr>
              <w:pStyle w:val="19"/>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宣传知晓率</w:t>
            </w:r>
          </w:p>
        </w:tc>
        <w:tc>
          <w:tcPr>
            <w:tcW w:w="2835" w:type="dxa"/>
            <w:vAlign w:val="center"/>
          </w:tcPr>
          <w:p>
            <w:pPr>
              <w:pStyle w:val="19"/>
            </w:pPr>
            <w:r>
              <w:t>宣传知识知晓情况</w:t>
            </w:r>
          </w:p>
        </w:tc>
        <w:tc>
          <w:tcPr>
            <w:tcW w:w="2551" w:type="dxa"/>
            <w:vAlign w:val="center"/>
          </w:tcPr>
          <w:p>
            <w:pPr>
              <w:pStyle w:val="19"/>
            </w:pPr>
            <w:r>
              <w:t>≥90%</w:t>
            </w:r>
          </w:p>
        </w:tc>
        <w:tc>
          <w:tcPr>
            <w:tcW w:w="2268" w:type="dxa"/>
            <w:vAlign w:val="center"/>
          </w:tcPr>
          <w:p>
            <w:pPr>
              <w:pStyle w:val="19"/>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宣传活动完成时间</w:t>
            </w:r>
          </w:p>
        </w:tc>
        <w:tc>
          <w:tcPr>
            <w:tcW w:w="2835" w:type="dxa"/>
            <w:vAlign w:val="center"/>
          </w:tcPr>
          <w:p>
            <w:pPr>
              <w:pStyle w:val="19"/>
            </w:pPr>
            <w:r>
              <w:t>宣传活动预计完成时间</w:t>
            </w:r>
          </w:p>
        </w:tc>
        <w:tc>
          <w:tcPr>
            <w:tcW w:w="2551" w:type="dxa"/>
            <w:vAlign w:val="center"/>
          </w:tcPr>
          <w:p>
            <w:pPr>
              <w:pStyle w:val="19"/>
            </w:pPr>
            <w:r>
              <w:t>1年</w:t>
            </w:r>
          </w:p>
        </w:tc>
        <w:tc>
          <w:tcPr>
            <w:tcW w:w="2268" w:type="dxa"/>
            <w:vAlign w:val="center"/>
          </w:tcPr>
          <w:p>
            <w:pPr>
              <w:pStyle w:val="19"/>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预算控制数</w:t>
            </w:r>
          </w:p>
        </w:tc>
        <w:tc>
          <w:tcPr>
            <w:tcW w:w="2835" w:type="dxa"/>
            <w:vAlign w:val="center"/>
          </w:tcPr>
          <w:p>
            <w:pPr>
              <w:pStyle w:val="19"/>
            </w:pPr>
            <w:r>
              <w:t>项目支出控制在预算范围内</w:t>
            </w:r>
          </w:p>
        </w:tc>
        <w:tc>
          <w:tcPr>
            <w:tcW w:w="2551" w:type="dxa"/>
            <w:vAlign w:val="center"/>
          </w:tcPr>
          <w:p>
            <w:pPr>
              <w:pStyle w:val="19"/>
            </w:pPr>
            <w:r>
              <w:t>≤100万元</w:t>
            </w:r>
          </w:p>
        </w:tc>
        <w:tc>
          <w:tcPr>
            <w:tcW w:w="2268" w:type="dxa"/>
            <w:vAlign w:val="center"/>
          </w:tcPr>
          <w:p>
            <w:pPr>
              <w:pStyle w:val="19"/>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效益指标</w:t>
            </w:r>
          </w:p>
        </w:tc>
        <w:tc>
          <w:tcPr>
            <w:tcW w:w="2268" w:type="dxa"/>
            <w:vAlign w:val="center"/>
          </w:tcPr>
          <w:p>
            <w:pPr>
              <w:pStyle w:val="19"/>
            </w:pPr>
            <w:r>
              <w:t>社会效益指标</w:t>
            </w:r>
          </w:p>
        </w:tc>
        <w:tc>
          <w:tcPr>
            <w:tcW w:w="2835" w:type="dxa"/>
            <w:vAlign w:val="center"/>
          </w:tcPr>
          <w:p>
            <w:pPr>
              <w:pStyle w:val="19"/>
            </w:pPr>
            <w:r>
              <w:t>提升全县人民文明建设</w:t>
            </w:r>
          </w:p>
        </w:tc>
        <w:tc>
          <w:tcPr>
            <w:tcW w:w="2835" w:type="dxa"/>
            <w:vAlign w:val="center"/>
          </w:tcPr>
          <w:p>
            <w:pPr>
              <w:pStyle w:val="19"/>
            </w:pPr>
            <w:r>
              <w:t>全县人民创建文明县城情况</w:t>
            </w:r>
          </w:p>
        </w:tc>
        <w:tc>
          <w:tcPr>
            <w:tcW w:w="2551" w:type="dxa"/>
            <w:vAlign w:val="center"/>
          </w:tcPr>
          <w:p>
            <w:pPr>
              <w:pStyle w:val="19"/>
            </w:pPr>
            <w:r>
              <w:t>≥90%</w:t>
            </w:r>
          </w:p>
        </w:tc>
        <w:tc>
          <w:tcPr>
            <w:tcW w:w="2268" w:type="dxa"/>
            <w:vAlign w:val="center"/>
          </w:tcPr>
          <w:p>
            <w:pPr>
              <w:pStyle w:val="19"/>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可持续影响指标</w:t>
            </w:r>
          </w:p>
        </w:tc>
        <w:tc>
          <w:tcPr>
            <w:tcW w:w="2835" w:type="dxa"/>
            <w:vAlign w:val="center"/>
          </w:tcPr>
          <w:p>
            <w:pPr>
              <w:pStyle w:val="19"/>
            </w:pPr>
            <w:r>
              <w:t>使用年限</w:t>
            </w:r>
          </w:p>
        </w:tc>
        <w:tc>
          <w:tcPr>
            <w:tcW w:w="2835" w:type="dxa"/>
            <w:vAlign w:val="center"/>
          </w:tcPr>
          <w:p>
            <w:pPr>
              <w:pStyle w:val="19"/>
            </w:pPr>
            <w:r>
              <w:t>采购物品使用年限</w:t>
            </w:r>
          </w:p>
        </w:tc>
        <w:tc>
          <w:tcPr>
            <w:tcW w:w="2551" w:type="dxa"/>
            <w:vAlign w:val="center"/>
          </w:tcPr>
          <w:p>
            <w:pPr>
              <w:pStyle w:val="19"/>
            </w:pPr>
            <w:r>
              <w:t>≥1年</w:t>
            </w:r>
          </w:p>
        </w:tc>
        <w:tc>
          <w:tcPr>
            <w:tcW w:w="2268" w:type="dxa"/>
            <w:vAlign w:val="center"/>
          </w:tcPr>
          <w:p>
            <w:pPr>
              <w:pStyle w:val="19"/>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群众的综合满意度</w:t>
            </w:r>
          </w:p>
        </w:tc>
        <w:tc>
          <w:tcPr>
            <w:tcW w:w="2835" w:type="dxa"/>
            <w:vAlign w:val="center"/>
          </w:tcPr>
          <w:p>
            <w:pPr>
              <w:pStyle w:val="19"/>
            </w:pPr>
            <w:r>
              <w:t>群众满意情况</w:t>
            </w:r>
          </w:p>
        </w:tc>
        <w:tc>
          <w:tcPr>
            <w:tcW w:w="2551" w:type="dxa"/>
            <w:vAlign w:val="center"/>
          </w:tcPr>
          <w:p>
            <w:pPr>
              <w:pStyle w:val="19"/>
            </w:pPr>
            <w:r>
              <w:t>≥90%</w:t>
            </w:r>
          </w:p>
        </w:tc>
        <w:tc>
          <w:tcPr>
            <w:tcW w:w="2268" w:type="dxa"/>
            <w:vAlign w:val="center"/>
          </w:tcPr>
          <w:p>
            <w:pPr>
              <w:pStyle w:val="19"/>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3、党报党刊订阅经费绩效目标表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1.党报党刊是党治国理政的重要资源和手段，是意识形态工作的主阵地</w:t>
            </w:r>
          </w:p>
          <w:p>
            <w:pPr>
              <w:pStyle w:val="19"/>
            </w:pPr>
            <w:r>
              <w:t>2.通过订阅党报党刊，加强全民意识形态思想</w:t>
            </w:r>
          </w:p>
          <w:p>
            <w:pPr>
              <w:pStyle w:val="19"/>
            </w:pPr>
            <w:r>
              <w:t>3.完成党报党刊订阅工作</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党报党刊订阅量</w:t>
            </w:r>
          </w:p>
        </w:tc>
        <w:tc>
          <w:tcPr>
            <w:tcW w:w="2835" w:type="dxa"/>
            <w:vAlign w:val="center"/>
          </w:tcPr>
          <w:p>
            <w:pPr>
              <w:pStyle w:val="19"/>
            </w:pPr>
            <w:r>
              <w:t>党报党刊订阅量</w:t>
            </w:r>
          </w:p>
        </w:tc>
        <w:tc>
          <w:tcPr>
            <w:tcW w:w="2551" w:type="dxa"/>
            <w:vAlign w:val="center"/>
          </w:tcPr>
          <w:p>
            <w:pPr>
              <w:pStyle w:val="19"/>
            </w:pPr>
            <w:r>
              <w:t>≥2700份</w:t>
            </w:r>
          </w:p>
        </w:tc>
        <w:tc>
          <w:tcPr>
            <w:tcW w:w="2268" w:type="dxa"/>
            <w:vAlign w:val="center"/>
          </w:tcPr>
          <w:p>
            <w:pPr>
              <w:pStyle w:val="19"/>
            </w:pPr>
            <w:r>
              <w:t>历史值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订阅党刊完成率</w:t>
            </w:r>
          </w:p>
        </w:tc>
        <w:tc>
          <w:tcPr>
            <w:tcW w:w="2835" w:type="dxa"/>
            <w:vAlign w:val="center"/>
          </w:tcPr>
          <w:p>
            <w:pPr>
              <w:pStyle w:val="19"/>
            </w:pPr>
            <w:r>
              <w:t>完成征订任务情况</w:t>
            </w:r>
          </w:p>
        </w:tc>
        <w:tc>
          <w:tcPr>
            <w:tcW w:w="2551" w:type="dxa"/>
            <w:vAlign w:val="center"/>
          </w:tcPr>
          <w:p>
            <w:pPr>
              <w:pStyle w:val="19"/>
            </w:pPr>
            <w:r>
              <w:t>≥90%</w:t>
            </w:r>
          </w:p>
        </w:tc>
        <w:tc>
          <w:tcPr>
            <w:tcW w:w="2268" w:type="dxa"/>
            <w:vAlign w:val="center"/>
          </w:tcPr>
          <w:p>
            <w:pPr>
              <w:pStyle w:val="19"/>
            </w:pPr>
            <w:r>
              <w:t>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党刊订阅及时性</w:t>
            </w:r>
          </w:p>
        </w:tc>
        <w:tc>
          <w:tcPr>
            <w:tcW w:w="2835" w:type="dxa"/>
            <w:vAlign w:val="center"/>
          </w:tcPr>
          <w:p>
            <w:pPr>
              <w:pStyle w:val="19"/>
            </w:pPr>
            <w:r>
              <w:t>党刊订阅完成时间</w:t>
            </w:r>
          </w:p>
        </w:tc>
        <w:tc>
          <w:tcPr>
            <w:tcW w:w="2551" w:type="dxa"/>
            <w:vAlign w:val="center"/>
          </w:tcPr>
          <w:p>
            <w:pPr>
              <w:pStyle w:val="19"/>
            </w:pPr>
            <w:r>
              <w:t>12月底</w:t>
            </w:r>
          </w:p>
        </w:tc>
        <w:tc>
          <w:tcPr>
            <w:tcW w:w="2268" w:type="dxa"/>
            <w:vAlign w:val="center"/>
          </w:tcPr>
          <w:p>
            <w:pPr>
              <w:pStyle w:val="19"/>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预算控制数</w:t>
            </w:r>
          </w:p>
        </w:tc>
        <w:tc>
          <w:tcPr>
            <w:tcW w:w="2835" w:type="dxa"/>
            <w:vAlign w:val="center"/>
          </w:tcPr>
          <w:p>
            <w:pPr>
              <w:pStyle w:val="19"/>
            </w:pPr>
            <w:r>
              <w:t>项目实际支出不超出预算金额</w:t>
            </w:r>
          </w:p>
        </w:tc>
        <w:tc>
          <w:tcPr>
            <w:tcW w:w="2551" w:type="dxa"/>
            <w:vAlign w:val="center"/>
          </w:tcPr>
          <w:p>
            <w:pPr>
              <w:pStyle w:val="19"/>
            </w:pPr>
            <w:r>
              <w:t>≦154万元</w:t>
            </w:r>
          </w:p>
        </w:tc>
        <w:tc>
          <w:tcPr>
            <w:tcW w:w="2268" w:type="dxa"/>
            <w:vAlign w:val="center"/>
          </w:tcPr>
          <w:p>
            <w:pPr>
              <w:pStyle w:val="19"/>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效益指标</w:t>
            </w:r>
          </w:p>
        </w:tc>
        <w:tc>
          <w:tcPr>
            <w:tcW w:w="2268" w:type="dxa"/>
            <w:vAlign w:val="center"/>
          </w:tcPr>
          <w:p>
            <w:pPr>
              <w:pStyle w:val="19"/>
            </w:pPr>
            <w:r>
              <w:t>社会效益指标</w:t>
            </w:r>
          </w:p>
        </w:tc>
        <w:tc>
          <w:tcPr>
            <w:tcW w:w="2835" w:type="dxa"/>
            <w:vAlign w:val="center"/>
          </w:tcPr>
          <w:p>
            <w:pPr>
              <w:pStyle w:val="19"/>
            </w:pPr>
            <w:r>
              <w:t>报刊续订覆盖率</w:t>
            </w:r>
          </w:p>
        </w:tc>
        <w:tc>
          <w:tcPr>
            <w:tcW w:w="2835" w:type="dxa"/>
            <w:vAlign w:val="center"/>
          </w:tcPr>
          <w:p>
            <w:pPr>
              <w:pStyle w:val="19"/>
            </w:pPr>
            <w:r>
              <w:t>续订报刊的读者占比率</w:t>
            </w:r>
          </w:p>
        </w:tc>
        <w:tc>
          <w:tcPr>
            <w:tcW w:w="2551" w:type="dxa"/>
            <w:vAlign w:val="center"/>
          </w:tcPr>
          <w:p>
            <w:pPr>
              <w:pStyle w:val="19"/>
            </w:pPr>
            <w:r>
              <w:t>≥90%</w:t>
            </w:r>
          </w:p>
        </w:tc>
        <w:tc>
          <w:tcPr>
            <w:tcW w:w="2268" w:type="dxa"/>
            <w:vAlign w:val="center"/>
          </w:tcPr>
          <w:p>
            <w:pPr>
              <w:pStyle w:val="19"/>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可持续影响指标</w:t>
            </w:r>
          </w:p>
        </w:tc>
        <w:tc>
          <w:tcPr>
            <w:tcW w:w="2835" w:type="dxa"/>
            <w:vAlign w:val="center"/>
          </w:tcPr>
          <w:p>
            <w:pPr>
              <w:pStyle w:val="19"/>
            </w:pPr>
            <w:r>
              <w:t>加强全民以上形态思想建设</w:t>
            </w:r>
          </w:p>
        </w:tc>
        <w:tc>
          <w:tcPr>
            <w:tcW w:w="2835" w:type="dxa"/>
            <w:vAlign w:val="center"/>
          </w:tcPr>
          <w:p>
            <w:pPr>
              <w:pStyle w:val="19"/>
            </w:pPr>
            <w:r>
              <w:t>加强全民以上形态思想建设</w:t>
            </w:r>
          </w:p>
        </w:tc>
        <w:tc>
          <w:tcPr>
            <w:tcW w:w="2551" w:type="dxa"/>
            <w:vAlign w:val="center"/>
          </w:tcPr>
          <w:p>
            <w:pPr>
              <w:pStyle w:val="19"/>
            </w:pPr>
            <w:r>
              <w:t>显著提升</w:t>
            </w:r>
          </w:p>
        </w:tc>
        <w:tc>
          <w:tcPr>
            <w:tcW w:w="2268" w:type="dxa"/>
            <w:vAlign w:val="center"/>
          </w:tcPr>
          <w:p>
            <w:pPr>
              <w:pStyle w:val="19"/>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服务对象的综合满意度</w:t>
            </w:r>
          </w:p>
        </w:tc>
        <w:tc>
          <w:tcPr>
            <w:tcW w:w="2835" w:type="dxa"/>
            <w:vAlign w:val="center"/>
          </w:tcPr>
          <w:p>
            <w:pPr>
              <w:pStyle w:val="19"/>
            </w:pPr>
            <w:r>
              <w:t>群众满意度</w:t>
            </w:r>
          </w:p>
        </w:tc>
        <w:tc>
          <w:tcPr>
            <w:tcW w:w="2551" w:type="dxa"/>
            <w:vAlign w:val="center"/>
          </w:tcPr>
          <w:p>
            <w:pPr>
              <w:pStyle w:val="19"/>
            </w:pPr>
            <w:r>
              <w:t>≥95%</w:t>
            </w:r>
          </w:p>
        </w:tc>
        <w:tc>
          <w:tcPr>
            <w:tcW w:w="2268" w:type="dxa"/>
            <w:vAlign w:val="center"/>
          </w:tcPr>
          <w:p>
            <w:pPr>
              <w:pStyle w:val="19"/>
            </w:pPr>
            <w:r>
              <w:t>职工满意度调查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4、道德模范、身边好人推树工作经费绩效目标表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1.广泛宣传“身边好人、道德模范”，在全社会营造好人有好报的浓厚氛围</w:t>
            </w:r>
          </w:p>
          <w:p>
            <w:pPr>
              <w:pStyle w:val="19"/>
            </w:pPr>
            <w:r>
              <w:t>2.为新当选“身边好人”举行现场交流活动，发放一次性奖励金</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现场交流活动</w:t>
            </w:r>
          </w:p>
        </w:tc>
        <w:tc>
          <w:tcPr>
            <w:tcW w:w="2835" w:type="dxa"/>
            <w:vAlign w:val="center"/>
          </w:tcPr>
          <w:p>
            <w:pPr>
              <w:pStyle w:val="19"/>
            </w:pPr>
            <w:r>
              <w:t>举行“身边好人”现场交流活动场次</w:t>
            </w:r>
          </w:p>
        </w:tc>
        <w:tc>
          <w:tcPr>
            <w:tcW w:w="2551" w:type="dxa"/>
            <w:vAlign w:val="center"/>
          </w:tcPr>
          <w:p>
            <w:pPr>
              <w:pStyle w:val="19"/>
            </w:pPr>
            <w:r>
              <w:t>≥1场</w:t>
            </w:r>
          </w:p>
        </w:tc>
        <w:tc>
          <w:tcPr>
            <w:tcW w:w="2268" w:type="dxa"/>
            <w:vAlign w:val="center"/>
          </w:tcPr>
          <w:p>
            <w:pPr>
              <w:pStyle w:val="19"/>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数量指标</w:t>
            </w:r>
          </w:p>
        </w:tc>
        <w:tc>
          <w:tcPr>
            <w:tcW w:w="2835" w:type="dxa"/>
            <w:vAlign w:val="center"/>
          </w:tcPr>
          <w:p>
            <w:pPr>
              <w:pStyle w:val="19"/>
            </w:pPr>
            <w:r>
              <w:t>“身边好人”人数</w:t>
            </w:r>
          </w:p>
        </w:tc>
        <w:tc>
          <w:tcPr>
            <w:tcW w:w="2835" w:type="dxa"/>
            <w:vAlign w:val="center"/>
          </w:tcPr>
          <w:p>
            <w:pPr>
              <w:pStyle w:val="19"/>
            </w:pPr>
            <w:r>
              <w:t>当选身边好人人数</w:t>
            </w:r>
          </w:p>
        </w:tc>
        <w:tc>
          <w:tcPr>
            <w:tcW w:w="2551" w:type="dxa"/>
            <w:vAlign w:val="center"/>
          </w:tcPr>
          <w:p>
            <w:pPr>
              <w:pStyle w:val="19"/>
            </w:pPr>
            <w:r>
              <w:t>≥20人</w:t>
            </w:r>
          </w:p>
        </w:tc>
        <w:tc>
          <w:tcPr>
            <w:tcW w:w="2268" w:type="dxa"/>
            <w:vAlign w:val="center"/>
          </w:tcPr>
          <w:p>
            <w:pPr>
              <w:pStyle w:val="19"/>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奖励金发放率</w:t>
            </w:r>
          </w:p>
        </w:tc>
        <w:tc>
          <w:tcPr>
            <w:tcW w:w="2835" w:type="dxa"/>
            <w:vAlign w:val="center"/>
          </w:tcPr>
          <w:p>
            <w:pPr>
              <w:pStyle w:val="19"/>
            </w:pPr>
            <w:r>
              <w:t>身边好人奖励金发放完成率</w:t>
            </w:r>
          </w:p>
        </w:tc>
        <w:tc>
          <w:tcPr>
            <w:tcW w:w="2551" w:type="dxa"/>
            <w:vAlign w:val="center"/>
          </w:tcPr>
          <w:p>
            <w:pPr>
              <w:pStyle w:val="19"/>
            </w:pPr>
            <w:r>
              <w:t>100%</w:t>
            </w:r>
          </w:p>
        </w:tc>
        <w:tc>
          <w:tcPr>
            <w:tcW w:w="2268" w:type="dxa"/>
            <w:vAlign w:val="center"/>
          </w:tcPr>
          <w:p>
            <w:pPr>
              <w:pStyle w:val="19"/>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评选合格率</w:t>
            </w:r>
          </w:p>
        </w:tc>
        <w:tc>
          <w:tcPr>
            <w:tcW w:w="2835" w:type="dxa"/>
            <w:vAlign w:val="center"/>
          </w:tcPr>
          <w:p>
            <w:pPr>
              <w:pStyle w:val="19"/>
            </w:pPr>
            <w:r>
              <w:t>按身边好人评选活动方案要求评选</w:t>
            </w:r>
          </w:p>
        </w:tc>
        <w:tc>
          <w:tcPr>
            <w:tcW w:w="2551" w:type="dxa"/>
            <w:vAlign w:val="center"/>
          </w:tcPr>
          <w:p>
            <w:pPr>
              <w:pStyle w:val="19"/>
            </w:pPr>
            <w:r>
              <w:t>100%</w:t>
            </w:r>
          </w:p>
        </w:tc>
        <w:tc>
          <w:tcPr>
            <w:tcW w:w="2268" w:type="dxa"/>
            <w:vAlign w:val="center"/>
          </w:tcPr>
          <w:p>
            <w:pPr>
              <w:pStyle w:val="19"/>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评选身边好人的时间</w:t>
            </w:r>
          </w:p>
        </w:tc>
        <w:tc>
          <w:tcPr>
            <w:tcW w:w="2835" w:type="dxa"/>
            <w:vAlign w:val="center"/>
          </w:tcPr>
          <w:p>
            <w:pPr>
              <w:pStyle w:val="19"/>
            </w:pPr>
            <w:r>
              <w:t>完成身边好人评选的时间</w:t>
            </w:r>
          </w:p>
        </w:tc>
        <w:tc>
          <w:tcPr>
            <w:tcW w:w="2551" w:type="dxa"/>
            <w:vAlign w:val="center"/>
          </w:tcPr>
          <w:p>
            <w:pPr>
              <w:pStyle w:val="19"/>
            </w:pPr>
            <w:r>
              <w:t>≤7月底</w:t>
            </w:r>
          </w:p>
        </w:tc>
        <w:tc>
          <w:tcPr>
            <w:tcW w:w="2268" w:type="dxa"/>
            <w:vAlign w:val="center"/>
          </w:tcPr>
          <w:p>
            <w:pPr>
              <w:pStyle w:val="19"/>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现场交流活动的时间</w:t>
            </w:r>
          </w:p>
        </w:tc>
        <w:tc>
          <w:tcPr>
            <w:tcW w:w="2835" w:type="dxa"/>
            <w:vAlign w:val="center"/>
          </w:tcPr>
          <w:p>
            <w:pPr>
              <w:pStyle w:val="19"/>
            </w:pPr>
            <w:r>
              <w:t>举行身边好人现场交流活动时间</w:t>
            </w:r>
          </w:p>
        </w:tc>
        <w:tc>
          <w:tcPr>
            <w:tcW w:w="2551" w:type="dxa"/>
            <w:vAlign w:val="center"/>
          </w:tcPr>
          <w:p>
            <w:pPr>
              <w:pStyle w:val="19"/>
            </w:pPr>
            <w:r>
              <w:t>≤7月底</w:t>
            </w:r>
          </w:p>
        </w:tc>
        <w:tc>
          <w:tcPr>
            <w:tcW w:w="2268" w:type="dxa"/>
            <w:vAlign w:val="center"/>
          </w:tcPr>
          <w:p>
            <w:pPr>
              <w:pStyle w:val="19"/>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预算控制数</w:t>
            </w:r>
          </w:p>
        </w:tc>
        <w:tc>
          <w:tcPr>
            <w:tcW w:w="2835" w:type="dxa"/>
            <w:vAlign w:val="center"/>
          </w:tcPr>
          <w:p>
            <w:pPr>
              <w:pStyle w:val="19"/>
            </w:pPr>
            <w:r>
              <w:t>项目实际支出金额不超出预算金额</w:t>
            </w:r>
          </w:p>
        </w:tc>
        <w:tc>
          <w:tcPr>
            <w:tcW w:w="2551" w:type="dxa"/>
            <w:vAlign w:val="center"/>
          </w:tcPr>
          <w:p>
            <w:pPr>
              <w:pStyle w:val="19"/>
            </w:pPr>
            <w:r>
              <w:t>≤6万元</w:t>
            </w:r>
          </w:p>
        </w:tc>
        <w:tc>
          <w:tcPr>
            <w:tcW w:w="2268" w:type="dxa"/>
            <w:vAlign w:val="center"/>
          </w:tcPr>
          <w:p>
            <w:pPr>
              <w:pStyle w:val="19"/>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人均奖励金金额</w:t>
            </w:r>
          </w:p>
        </w:tc>
        <w:tc>
          <w:tcPr>
            <w:tcW w:w="2835" w:type="dxa"/>
            <w:vAlign w:val="center"/>
          </w:tcPr>
          <w:p>
            <w:pPr>
              <w:pStyle w:val="19"/>
            </w:pPr>
            <w:r>
              <w:t>身边好人奖励金额</w:t>
            </w:r>
          </w:p>
        </w:tc>
        <w:tc>
          <w:tcPr>
            <w:tcW w:w="2551" w:type="dxa"/>
            <w:vAlign w:val="center"/>
          </w:tcPr>
          <w:p>
            <w:pPr>
              <w:pStyle w:val="19"/>
            </w:pPr>
            <w:r>
              <w:t>2000元</w:t>
            </w:r>
          </w:p>
        </w:tc>
        <w:tc>
          <w:tcPr>
            <w:tcW w:w="2268" w:type="dxa"/>
            <w:vAlign w:val="center"/>
          </w:tcPr>
          <w:p>
            <w:pPr>
              <w:pStyle w:val="19"/>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效益指标</w:t>
            </w:r>
          </w:p>
        </w:tc>
        <w:tc>
          <w:tcPr>
            <w:tcW w:w="2268" w:type="dxa"/>
            <w:vAlign w:val="center"/>
          </w:tcPr>
          <w:p>
            <w:pPr>
              <w:pStyle w:val="19"/>
            </w:pPr>
            <w:r>
              <w:t>生态效益指标</w:t>
            </w:r>
          </w:p>
        </w:tc>
        <w:tc>
          <w:tcPr>
            <w:tcW w:w="2835" w:type="dxa"/>
            <w:vAlign w:val="center"/>
          </w:tcPr>
          <w:p>
            <w:pPr>
              <w:pStyle w:val="19"/>
            </w:pPr>
            <w:r>
              <w:t>认可好评率</w:t>
            </w:r>
          </w:p>
        </w:tc>
        <w:tc>
          <w:tcPr>
            <w:tcW w:w="2835" w:type="dxa"/>
            <w:vAlign w:val="center"/>
          </w:tcPr>
          <w:p>
            <w:pPr>
              <w:pStyle w:val="19"/>
            </w:pPr>
            <w:r>
              <w:t>身边好人得到群众认可率</w:t>
            </w:r>
          </w:p>
        </w:tc>
        <w:tc>
          <w:tcPr>
            <w:tcW w:w="2551" w:type="dxa"/>
            <w:vAlign w:val="center"/>
          </w:tcPr>
          <w:p>
            <w:pPr>
              <w:pStyle w:val="19"/>
            </w:pPr>
            <w:r>
              <w:t>≥90%</w:t>
            </w:r>
          </w:p>
        </w:tc>
        <w:tc>
          <w:tcPr>
            <w:tcW w:w="2268" w:type="dxa"/>
            <w:vAlign w:val="center"/>
          </w:tcPr>
          <w:p>
            <w:pPr>
              <w:pStyle w:val="19"/>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可持续影响指标</w:t>
            </w:r>
          </w:p>
        </w:tc>
        <w:tc>
          <w:tcPr>
            <w:tcW w:w="2835" w:type="dxa"/>
            <w:vAlign w:val="center"/>
          </w:tcPr>
          <w:p>
            <w:pPr>
              <w:pStyle w:val="19"/>
            </w:pPr>
            <w:r>
              <w:t>档案管理机制</w:t>
            </w:r>
          </w:p>
        </w:tc>
        <w:tc>
          <w:tcPr>
            <w:tcW w:w="2835" w:type="dxa"/>
            <w:vAlign w:val="center"/>
          </w:tcPr>
          <w:p>
            <w:pPr>
              <w:pStyle w:val="19"/>
            </w:pPr>
            <w:r>
              <w:t>身边好人评选档案归档情况</w:t>
            </w:r>
          </w:p>
        </w:tc>
        <w:tc>
          <w:tcPr>
            <w:tcW w:w="2551" w:type="dxa"/>
            <w:vAlign w:val="center"/>
          </w:tcPr>
          <w:p>
            <w:pPr>
              <w:pStyle w:val="19"/>
            </w:pPr>
            <w:r>
              <w:t>资料完整</w:t>
            </w:r>
          </w:p>
        </w:tc>
        <w:tc>
          <w:tcPr>
            <w:tcW w:w="2268" w:type="dxa"/>
            <w:vAlign w:val="center"/>
          </w:tcPr>
          <w:p>
            <w:pPr>
              <w:pStyle w:val="19"/>
            </w:pPr>
            <w:r>
              <w:t>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群众满意度</w:t>
            </w:r>
          </w:p>
        </w:tc>
        <w:tc>
          <w:tcPr>
            <w:tcW w:w="2835" w:type="dxa"/>
            <w:vAlign w:val="center"/>
          </w:tcPr>
          <w:p>
            <w:pPr>
              <w:pStyle w:val="19"/>
            </w:pPr>
            <w:r>
              <w:t>群众对当选的身边好人满意度</w:t>
            </w:r>
          </w:p>
        </w:tc>
        <w:tc>
          <w:tcPr>
            <w:tcW w:w="2551" w:type="dxa"/>
            <w:vAlign w:val="center"/>
          </w:tcPr>
          <w:p>
            <w:pPr>
              <w:pStyle w:val="19"/>
            </w:pPr>
            <w:r>
              <w:t>≥90%</w:t>
            </w:r>
          </w:p>
        </w:tc>
        <w:tc>
          <w:tcPr>
            <w:tcW w:w="2268" w:type="dxa"/>
            <w:vAlign w:val="center"/>
          </w:tcPr>
          <w:p>
            <w:pPr>
              <w:pStyle w:val="19"/>
            </w:pPr>
            <w:r>
              <w:t>活动走访调查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5、电影公益放映场次补贴县级配套资金绩效目标表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1.鼓励引导文化特色、艺术创新影片发行和放映</w:t>
            </w:r>
          </w:p>
          <w:p>
            <w:pPr>
              <w:pStyle w:val="19"/>
            </w:pPr>
            <w:r>
              <w:t>2.推动我县电影事业持续发展</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月度放映场次</w:t>
            </w:r>
          </w:p>
        </w:tc>
        <w:tc>
          <w:tcPr>
            <w:tcW w:w="2835" w:type="dxa"/>
            <w:vAlign w:val="center"/>
          </w:tcPr>
          <w:p>
            <w:pPr>
              <w:pStyle w:val="19"/>
            </w:pPr>
            <w:r>
              <w:t>每个行政村月度放映电影场次</w:t>
            </w:r>
          </w:p>
        </w:tc>
        <w:tc>
          <w:tcPr>
            <w:tcW w:w="2551" w:type="dxa"/>
            <w:vAlign w:val="center"/>
          </w:tcPr>
          <w:p>
            <w:pPr>
              <w:pStyle w:val="19"/>
            </w:pPr>
            <w:r>
              <w:t>≥1场</w:t>
            </w:r>
          </w:p>
        </w:tc>
        <w:tc>
          <w:tcPr>
            <w:tcW w:w="2268" w:type="dxa"/>
            <w:vAlign w:val="center"/>
          </w:tcPr>
          <w:p>
            <w:pPr>
              <w:pStyle w:val="19"/>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电影放映覆盖率</w:t>
            </w:r>
          </w:p>
        </w:tc>
        <w:tc>
          <w:tcPr>
            <w:tcW w:w="2835" w:type="dxa"/>
            <w:vAlign w:val="center"/>
          </w:tcPr>
          <w:p>
            <w:pPr>
              <w:pStyle w:val="19"/>
            </w:pPr>
            <w:r>
              <w:t>全年行政村电影放映覆盖情况</w:t>
            </w:r>
          </w:p>
        </w:tc>
        <w:tc>
          <w:tcPr>
            <w:tcW w:w="2551" w:type="dxa"/>
            <w:vAlign w:val="center"/>
          </w:tcPr>
          <w:p>
            <w:pPr>
              <w:pStyle w:val="19"/>
            </w:pPr>
            <w:r>
              <w:t>100%</w:t>
            </w:r>
          </w:p>
        </w:tc>
        <w:tc>
          <w:tcPr>
            <w:tcW w:w="2268" w:type="dxa"/>
            <w:vAlign w:val="center"/>
          </w:tcPr>
          <w:p>
            <w:pPr>
              <w:pStyle w:val="19"/>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电影放映及时性完成时间</w:t>
            </w:r>
          </w:p>
        </w:tc>
        <w:tc>
          <w:tcPr>
            <w:tcW w:w="2835" w:type="dxa"/>
            <w:vAlign w:val="center"/>
          </w:tcPr>
          <w:p>
            <w:pPr>
              <w:pStyle w:val="19"/>
            </w:pPr>
            <w:r>
              <w:t>电影放映完成时间</w:t>
            </w:r>
          </w:p>
        </w:tc>
        <w:tc>
          <w:tcPr>
            <w:tcW w:w="2551" w:type="dxa"/>
            <w:vAlign w:val="center"/>
          </w:tcPr>
          <w:p>
            <w:pPr>
              <w:pStyle w:val="19"/>
            </w:pPr>
            <w:r>
              <w:t>及时</w:t>
            </w:r>
          </w:p>
        </w:tc>
        <w:tc>
          <w:tcPr>
            <w:tcW w:w="2268" w:type="dxa"/>
            <w:vAlign w:val="center"/>
          </w:tcPr>
          <w:p>
            <w:pPr>
              <w:pStyle w:val="19"/>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单场电影成本</w:t>
            </w:r>
          </w:p>
        </w:tc>
        <w:tc>
          <w:tcPr>
            <w:tcW w:w="2835" w:type="dxa"/>
            <w:vAlign w:val="center"/>
          </w:tcPr>
          <w:p>
            <w:pPr>
              <w:pStyle w:val="19"/>
            </w:pPr>
            <w:r>
              <w:t>中央、省、县场次补贴成本</w:t>
            </w:r>
          </w:p>
        </w:tc>
        <w:tc>
          <w:tcPr>
            <w:tcW w:w="2551" w:type="dxa"/>
            <w:vAlign w:val="center"/>
          </w:tcPr>
          <w:p>
            <w:pPr>
              <w:pStyle w:val="19"/>
            </w:pPr>
            <w:r>
              <w:t>200元/场</w:t>
            </w:r>
          </w:p>
        </w:tc>
        <w:tc>
          <w:tcPr>
            <w:tcW w:w="2268" w:type="dxa"/>
            <w:vAlign w:val="center"/>
          </w:tcPr>
          <w:p>
            <w:pPr>
              <w:pStyle w:val="19"/>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效益指标</w:t>
            </w:r>
          </w:p>
        </w:tc>
        <w:tc>
          <w:tcPr>
            <w:tcW w:w="2268" w:type="dxa"/>
            <w:vAlign w:val="center"/>
          </w:tcPr>
          <w:p>
            <w:pPr>
              <w:pStyle w:val="19"/>
            </w:pPr>
            <w:r>
              <w:t>社会效益指标</w:t>
            </w:r>
          </w:p>
        </w:tc>
        <w:tc>
          <w:tcPr>
            <w:tcW w:w="2835" w:type="dxa"/>
            <w:vAlign w:val="center"/>
          </w:tcPr>
          <w:p>
            <w:pPr>
              <w:pStyle w:val="19"/>
            </w:pPr>
            <w:r>
              <w:t>丰富群众业余生活</w:t>
            </w:r>
          </w:p>
        </w:tc>
        <w:tc>
          <w:tcPr>
            <w:tcW w:w="2835" w:type="dxa"/>
            <w:vAlign w:val="center"/>
          </w:tcPr>
          <w:p>
            <w:pPr>
              <w:pStyle w:val="19"/>
            </w:pPr>
            <w:r>
              <w:t>群众业余生活情况</w:t>
            </w:r>
          </w:p>
        </w:tc>
        <w:tc>
          <w:tcPr>
            <w:tcW w:w="2551" w:type="dxa"/>
            <w:vAlign w:val="center"/>
          </w:tcPr>
          <w:p>
            <w:pPr>
              <w:pStyle w:val="19"/>
            </w:pPr>
            <w:r>
              <w:t>100%</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可持续影响指标</w:t>
            </w:r>
          </w:p>
        </w:tc>
        <w:tc>
          <w:tcPr>
            <w:tcW w:w="2835" w:type="dxa"/>
            <w:vAlign w:val="center"/>
          </w:tcPr>
          <w:p>
            <w:pPr>
              <w:pStyle w:val="19"/>
            </w:pPr>
            <w:r>
              <w:t>电影事业发展</w:t>
            </w:r>
          </w:p>
        </w:tc>
        <w:tc>
          <w:tcPr>
            <w:tcW w:w="2835" w:type="dxa"/>
            <w:vAlign w:val="center"/>
          </w:tcPr>
          <w:p>
            <w:pPr>
              <w:pStyle w:val="19"/>
            </w:pPr>
            <w:r>
              <w:t>推动我县电影事业发展</w:t>
            </w:r>
          </w:p>
        </w:tc>
        <w:tc>
          <w:tcPr>
            <w:tcW w:w="2551" w:type="dxa"/>
            <w:vAlign w:val="center"/>
          </w:tcPr>
          <w:p>
            <w:pPr>
              <w:pStyle w:val="19"/>
            </w:pPr>
            <w:r>
              <w:t>显著</w:t>
            </w:r>
          </w:p>
        </w:tc>
        <w:tc>
          <w:tcPr>
            <w:tcW w:w="2268" w:type="dxa"/>
            <w:vAlign w:val="center"/>
          </w:tcPr>
          <w:p>
            <w:pPr>
              <w:pStyle w:val="19"/>
            </w:pPr>
            <w:r>
              <w:t>调查走访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服务对象满意度</w:t>
            </w:r>
          </w:p>
        </w:tc>
        <w:tc>
          <w:tcPr>
            <w:tcW w:w="2835" w:type="dxa"/>
            <w:vAlign w:val="center"/>
          </w:tcPr>
          <w:p>
            <w:pPr>
              <w:pStyle w:val="19"/>
            </w:pPr>
            <w:r>
              <w:t>服务群众的综合满意度</w:t>
            </w:r>
          </w:p>
        </w:tc>
        <w:tc>
          <w:tcPr>
            <w:tcW w:w="2551" w:type="dxa"/>
            <w:vAlign w:val="center"/>
          </w:tcPr>
          <w:p>
            <w:pPr>
              <w:pStyle w:val="19"/>
            </w:pPr>
            <w:r>
              <w:t>≥90%</w:t>
            </w:r>
          </w:p>
        </w:tc>
        <w:tc>
          <w:tcPr>
            <w:tcW w:w="2268" w:type="dxa"/>
            <w:vAlign w:val="center"/>
          </w:tcPr>
          <w:p>
            <w:pPr>
              <w:pStyle w:val="19"/>
            </w:pPr>
            <w:r>
              <w:t>调查走访</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6、对内外宣传经费绩效目标表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1.进一步加强对内对外宣传工作，加快推动大厂经济社会发展的有效做法、典型经验、亮点成效，提升大厂的美誉度、知名度</w:t>
            </w:r>
          </w:p>
          <w:p>
            <w:pPr>
              <w:pStyle w:val="19"/>
            </w:pPr>
            <w:r>
              <w:t>2.进一步把全县广大干部群众的思想统一到县委、县政府各项决策部署上来，特别是在与通州区协同发展背景下，讲好大厂故事，唱响大厂好声音，让社会各界更多的关注和支持大厂发展</w:t>
            </w:r>
          </w:p>
          <w:p>
            <w:pPr>
              <w:pStyle w:val="19"/>
            </w:pPr>
            <w:r>
              <w:t>3.助推大厂各项事业高质量发展</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组织活动次数</w:t>
            </w:r>
          </w:p>
        </w:tc>
        <w:tc>
          <w:tcPr>
            <w:tcW w:w="2835" w:type="dxa"/>
            <w:vAlign w:val="center"/>
          </w:tcPr>
          <w:p>
            <w:pPr>
              <w:pStyle w:val="19"/>
            </w:pPr>
            <w:r>
              <w:t>组织各类社会宣传活动次数</w:t>
            </w:r>
          </w:p>
        </w:tc>
        <w:tc>
          <w:tcPr>
            <w:tcW w:w="2551" w:type="dxa"/>
            <w:vAlign w:val="center"/>
          </w:tcPr>
          <w:p>
            <w:pPr>
              <w:pStyle w:val="19"/>
            </w:pPr>
            <w:r>
              <w:t>≥6次</w:t>
            </w:r>
          </w:p>
        </w:tc>
        <w:tc>
          <w:tcPr>
            <w:tcW w:w="2268" w:type="dxa"/>
            <w:vAlign w:val="center"/>
          </w:tcPr>
          <w:p>
            <w:pPr>
              <w:pStyle w:val="19"/>
            </w:pPr>
            <w:r>
              <w:t>往年数据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宣传活动覆盖率</w:t>
            </w:r>
          </w:p>
        </w:tc>
        <w:tc>
          <w:tcPr>
            <w:tcW w:w="2835" w:type="dxa"/>
            <w:vAlign w:val="center"/>
          </w:tcPr>
          <w:p>
            <w:pPr>
              <w:pStyle w:val="19"/>
            </w:pPr>
            <w:r>
              <w:t>宣传活动覆盖情况</w:t>
            </w:r>
          </w:p>
        </w:tc>
        <w:tc>
          <w:tcPr>
            <w:tcW w:w="2551" w:type="dxa"/>
            <w:vAlign w:val="center"/>
          </w:tcPr>
          <w:p>
            <w:pPr>
              <w:pStyle w:val="19"/>
            </w:pPr>
            <w:r>
              <w:t>≥90%</w:t>
            </w:r>
          </w:p>
        </w:tc>
        <w:tc>
          <w:tcPr>
            <w:tcW w:w="2268" w:type="dxa"/>
            <w:vAlign w:val="center"/>
          </w:tcPr>
          <w:p>
            <w:pPr>
              <w:pStyle w:val="19"/>
            </w:pPr>
            <w:r>
              <w:t>历史值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宣传活动完成及时性</w:t>
            </w:r>
          </w:p>
        </w:tc>
        <w:tc>
          <w:tcPr>
            <w:tcW w:w="2835" w:type="dxa"/>
            <w:vAlign w:val="center"/>
          </w:tcPr>
          <w:p>
            <w:pPr>
              <w:pStyle w:val="19"/>
            </w:pPr>
            <w:r>
              <w:t>宣传活动完成时间</w:t>
            </w:r>
          </w:p>
        </w:tc>
        <w:tc>
          <w:tcPr>
            <w:tcW w:w="2551" w:type="dxa"/>
            <w:vAlign w:val="center"/>
          </w:tcPr>
          <w:p>
            <w:pPr>
              <w:pStyle w:val="19"/>
            </w:pPr>
            <w:r>
              <w:t>1年</w:t>
            </w:r>
          </w:p>
        </w:tc>
        <w:tc>
          <w:tcPr>
            <w:tcW w:w="2268" w:type="dxa"/>
            <w:vAlign w:val="center"/>
          </w:tcPr>
          <w:p>
            <w:pPr>
              <w:pStyle w:val="19"/>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宣传视频播放及时性</w:t>
            </w:r>
          </w:p>
        </w:tc>
        <w:tc>
          <w:tcPr>
            <w:tcW w:w="2835" w:type="dxa"/>
            <w:vAlign w:val="center"/>
          </w:tcPr>
          <w:p>
            <w:pPr>
              <w:pStyle w:val="19"/>
            </w:pPr>
            <w:r>
              <w:t>宣传视频播放时间</w:t>
            </w:r>
          </w:p>
        </w:tc>
        <w:tc>
          <w:tcPr>
            <w:tcW w:w="2551" w:type="dxa"/>
            <w:vAlign w:val="center"/>
          </w:tcPr>
          <w:p>
            <w:pPr>
              <w:pStyle w:val="19"/>
            </w:pPr>
            <w:r>
              <w:t>合同日期</w:t>
            </w:r>
          </w:p>
        </w:tc>
        <w:tc>
          <w:tcPr>
            <w:tcW w:w="2268" w:type="dxa"/>
            <w:vAlign w:val="center"/>
          </w:tcPr>
          <w:p>
            <w:pPr>
              <w:pStyle w:val="19"/>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宣传单单页成本</w:t>
            </w:r>
          </w:p>
        </w:tc>
        <w:tc>
          <w:tcPr>
            <w:tcW w:w="2835" w:type="dxa"/>
            <w:vAlign w:val="center"/>
          </w:tcPr>
          <w:p>
            <w:pPr>
              <w:pStyle w:val="19"/>
            </w:pPr>
            <w:r>
              <w:t>宣传单单页折页成本</w:t>
            </w:r>
          </w:p>
        </w:tc>
        <w:tc>
          <w:tcPr>
            <w:tcW w:w="2551" w:type="dxa"/>
            <w:vAlign w:val="center"/>
          </w:tcPr>
          <w:p>
            <w:pPr>
              <w:pStyle w:val="19"/>
            </w:pPr>
            <w:r>
              <w:t>≤4元</w:t>
            </w:r>
          </w:p>
        </w:tc>
        <w:tc>
          <w:tcPr>
            <w:tcW w:w="2268" w:type="dxa"/>
            <w:vAlign w:val="center"/>
          </w:tcPr>
          <w:p>
            <w:pPr>
              <w:pStyle w:val="19"/>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效益指标</w:t>
            </w:r>
          </w:p>
        </w:tc>
        <w:tc>
          <w:tcPr>
            <w:tcW w:w="2268" w:type="dxa"/>
            <w:vAlign w:val="center"/>
          </w:tcPr>
          <w:p>
            <w:pPr>
              <w:pStyle w:val="19"/>
            </w:pPr>
            <w:r>
              <w:t>社会效益指标</w:t>
            </w:r>
          </w:p>
        </w:tc>
        <w:tc>
          <w:tcPr>
            <w:tcW w:w="2835" w:type="dxa"/>
            <w:vAlign w:val="center"/>
          </w:tcPr>
          <w:p>
            <w:pPr>
              <w:pStyle w:val="19"/>
            </w:pPr>
            <w:r>
              <w:t>宣传内容知晓率</w:t>
            </w:r>
          </w:p>
        </w:tc>
        <w:tc>
          <w:tcPr>
            <w:tcW w:w="2835" w:type="dxa"/>
            <w:vAlign w:val="center"/>
          </w:tcPr>
          <w:p>
            <w:pPr>
              <w:pStyle w:val="19"/>
            </w:pPr>
            <w:r>
              <w:t>宣传内容群众知晓情况</w:t>
            </w:r>
          </w:p>
        </w:tc>
        <w:tc>
          <w:tcPr>
            <w:tcW w:w="2551" w:type="dxa"/>
            <w:vAlign w:val="center"/>
          </w:tcPr>
          <w:p>
            <w:pPr>
              <w:pStyle w:val="19"/>
            </w:pPr>
            <w:r>
              <w:t>≥90%</w:t>
            </w:r>
          </w:p>
        </w:tc>
        <w:tc>
          <w:tcPr>
            <w:tcW w:w="2268" w:type="dxa"/>
            <w:vAlign w:val="center"/>
          </w:tcPr>
          <w:p>
            <w:pPr>
              <w:pStyle w:val="19"/>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可持续影响指标</w:t>
            </w:r>
          </w:p>
        </w:tc>
        <w:tc>
          <w:tcPr>
            <w:tcW w:w="2835" w:type="dxa"/>
            <w:vAlign w:val="center"/>
          </w:tcPr>
          <w:p>
            <w:pPr>
              <w:pStyle w:val="19"/>
            </w:pPr>
            <w:r>
              <w:t>美誉度、知名度</w:t>
            </w:r>
          </w:p>
        </w:tc>
        <w:tc>
          <w:tcPr>
            <w:tcW w:w="2835" w:type="dxa"/>
            <w:vAlign w:val="center"/>
          </w:tcPr>
          <w:p>
            <w:pPr>
              <w:pStyle w:val="19"/>
            </w:pPr>
            <w:r>
              <w:t>提升大厂美誉度、知名度</w:t>
            </w:r>
          </w:p>
        </w:tc>
        <w:tc>
          <w:tcPr>
            <w:tcW w:w="2551" w:type="dxa"/>
            <w:vAlign w:val="center"/>
          </w:tcPr>
          <w:p>
            <w:pPr>
              <w:pStyle w:val="19"/>
            </w:pPr>
            <w:r>
              <w:t>显著提升</w:t>
            </w:r>
          </w:p>
        </w:tc>
        <w:tc>
          <w:tcPr>
            <w:tcW w:w="2268" w:type="dxa"/>
            <w:vAlign w:val="center"/>
          </w:tcPr>
          <w:p>
            <w:pPr>
              <w:pStyle w:val="19"/>
            </w:pPr>
            <w:r>
              <w:t>活动走访调查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服务对象满意度</w:t>
            </w:r>
          </w:p>
        </w:tc>
        <w:tc>
          <w:tcPr>
            <w:tcW w:w="2835" w:type="dxa"/>
            <w:vAlign w:val="center"/>
          </w:tcPr>
          <w:p>
            <w:pPr>
              <w:pStyle w:val="19"/>
            </w:pPr>
            <w:r>
              <w:t>群众对报道的综合满意度</w:t>
            </w:r>
          </w:p>
        </w:tc>
        <w:tc>
          <w:tcPr>
            <w:tcW w:w="2551" w:type="dxa"/>
            <w:vAlign w:val="center"/>
          </w:tcPr>
          <w:p>
            <w:pPr>
              <w:pStyle w:val="19"/>
            </w:pPr>
            <w:r>
              <w:t>≥90%</w:t>
            </w:r>
          </w:p>
        </w:tc>
        <w:tc>
          <w:tcPr>
            <w:tcW w:w="2268" w:type="dxa"/>
            <w:vAlign w:val="center"/>
          </w:tcPr>
          <w:p>
            <w:pPr>
              <w:pStyle w:val="19"/>
            </w:pPr>
            <w:r>
              <w:t>活动走访调查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7、理论学习经费绩效目标表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1.目标内容1全面提升自觉运用党的创新理论成果武装头脑、指导实践、推动工作的执行力</w:t>
            </w:r>
          </w:p>
          <w:p>
            <w:pPr>
              <w:pStyle w:val="19"/>
            </w:pPr>
            <w:r>
              <w:t>2.目标内容2指导全县理论学习、理论宣传、理论研究工作</w:t>
            </w:r>
          </w:p>
          <w:p>
            <w:pPr>
              <w:pStyle w:val="19"/>
            </w:pPr>
            <w:r>
              <w:t>3.目标内容3深化理论武装，发挥意识形态标杆导向作用</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组织会议场次</w:t>
            </w:r>
          </w:p>
        </w:tc>
        <w:tc>
          <w:tcPr>
            <w:tcW w:w="2835" w:type="dxa"/>
            <w:vAlign w:val="center"/>
          </w:tcPr>
          <w:p>
            <w:pPr>
              <w:pStyle w:val="19"/>
            </w:pPr>
            <w:r>
              <w:t>组织理论学习相关会议场次</w:t>
            </w:r>
          </w:p>
        </w:tc>
        <w:tc>
          <w:tcPr>
            <w:tcW w:w="2551" w:type="dxa"/>
            <w:vAlign w:val="center"/>
          </w:tcPr>
          <w:p>
            <w:pPr>
              <w:pStyle w:val="19"/>
            </w:pPr>
            <w:r>
              <w:t>≥12次</w:t>
            </w:r>
          </w:p>
        </w:tc>
        <w:tc>
          <w:tcPr>
            <w:tcW w:w="2268" w:type="dxa"/>
            <w:vAlign w:val="center"/>
          </w:tcPr>
          <w:p>
            <w:pPr>
              <w:pStyle w:val="19"/>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宣传资料发放率</w:t>
            </w:r>
          </w:p>
        </w:tc>
        <w:tc>
          <w:tcPr>
            <w:tcW w:w="2835" w:type="dxa"/>
            <w:vAlign w:val="center"/>
          </w:tcPr>
          <w:p>
            <w:pPr>
              <w:pStyle w:val="19"/>
            </w:pPr>
            <w:r>
              <w:t>宣传资料发放情况</w:t>
            </w:r>
          </w:p>
        </w:tc>
        <w:tc>
          <w:tcPr>
            <w:tcW w:w="2551" w:type="dxa"/>
            <w:vAlign w:val="center"/>
          </w:tcPr>
          <w:p>
            <w:pPr>
              <w:pStyle w:val="19"/>
            </w:pPr>
            <w:r>
              <w:t>≥90%</w:t>
            </w:r>
          </w:p>
        </w:tc>
        <w:tc>
          <w:tcPr>
            <w:tcW w:w="2268" w:type="dxa"/>
            <w:vAlign w:val="center"/>
          </w:tcPr>
          <w:p>
            <w:pPr>
              <w:pStyle w:val="19"/>
            </w:pPr>
            <w:r>
              <w:t>往年数据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工作完成及时性</w:t>
            </w:r>
          </w:p>
        </w:tc>
        <w:tc>
          <w:tcPr>
            <w:tcW w:w="2835" w:type="dxa"/>
            <w:vAlign w:val="center"/>
          </w:tcPr>
          <w:p>
            <w:pPr>
              <w:pStyle w:val="19"/>
            </w:pPr>
            <w:r>
              <w:t>项目完成时间</w:t>
            </w:r>
          </w:p>
        </w:tc>
        <w:tc>
          <w:tcPr>
            <w:tcW w:w="2551" w:type="dxa"/>
            <w:vAlign w:val="center"/>
          </w:tcPr>
          <w:p>
            <w:pPr>
              <w:pStyle w:val="19"/>
            </w:pPr>
            <w:r>
              <w:t>1年</w:t>
            </w:r>
          </w:p>
        </w:tc>
        <w:tc>
          <w:tcPr>
            <w:tcW w:w="2268" w:type="dxa"/>
            <w:vAlign w:val="center"/>
          </w:tcPr>
          <w:p>
            <w:pPr>
              <w:pStyle w:val="19"/>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印刷成本</w:t>
            </w:r>
          </w:p>
        </w:tc>
        <w:tc>
          <w:tcPr>
            <w:tcW w:w="2835" w:type="dxa"/>
            <w:vAlign w:val="center"/>
          </w:tcPr>
          <w:p>
            <w:pPr>
              <w:pStyle w:val="19"/>
            </w:pPr>
            <w:r>
              <w:t>印刷资料成本情况</w:t>
            </w:r>
          </w:p>
        </w:tc>
        <w:tc>
          <w:tcPr>
            <w:tcW w:w="2551" w:type="dxa"/>
            <w:vAlign w:val="center"/>
          </w:tcPr>
          <w:p>
            <w:pPr>
              <w:pStyle w:val="19"/>
            </w:pPr>
            <w:r>
              <w:t>≤11万元</w:t>
            </w:r>
          </w:p>
        </w:tc>
        <w:tc>
          <w:tcPr>
            <w:tcW w:w="2268" w:type="dxa"/>
            <w:vAlign w:val="center"/>
          </w:tcPr>
          <w:p>
            <w:pPr>
              <w:pStyle w:val="19"/>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效益指标</w:t>
            </w:r>
          </w:p>
        </w:tc>
        <w:tc>
          <w:tcPr>
            <w:tcW w:w="2268" w:type="dxa"/>
            <w:vAlign w:val="center"/>
          </w:tcPr>
          <w:p>
            <w:pPr>
              <w:pStyle w:val="19"/>
            </w:pPr>
            <w:r>
              <w:t>社会效益指标</w:t>
            </w:r>
          </w:p>
        </w:tc>
        <w:tc>
          <w:tcPr>
            <w:tcW w:w="2835" w:type="dxa"/>
            <w:vAlign w:val="center"/>
          </w:tcPr>
          <w:p>
            <w:pPr>
              <w:pStyle w:val="19"/>
            </w:pPr>
            <w:r>
              <w:t>提升理论学习成果</w:t>
            </w:r>
          </w:p>
        </w:tc>
        <w:tc>
          <w:tcPr>
            <w:tcW w:w="2835" w:type="dxa"/>
            <w:vAlign w:val="center"/>
          </w:tcPr>
          <w:p>
            <w:pPr>
              <w:pStyle w:val="19"/>
            </w:pPr>
            <w:r>
              <w:t>参会人员理论学习成果情况</w:t>
            </w:r>
          </w:p>
        </w:tc>
        <w:tc>
          <w:tcPr>
            <w:tcW w:w="2551" w:type="dxa"/>
            <w:vAlign w:val="center"/>
          </w:tcPr>
          <w:p>
            <w:pPr>
              <w:pStyle w:val="19"/>
            </w:pPr>
            <w:r>
              <w:t>提升</w:t>
            </w:r>
          </w:p>
        </w:tc>
        <w:tc>
          <w:tcPr>
            <w:tcW w:w="2268" w:type="dxa"/>
            <w:vAlign w:val="center"/>
          </w:tcPr>
          <w:p>
            <w:pPr>
              <w:pStyle w:val="19"/>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可持续影响指标</w:t>
            </w:r>
          </w:p>
        </w:tc>
        <w:tc>
          <w:tcPr>
            <w:tcW w:w="2835" w:type="dxa"/>
            <w:vAlign w:val="center"/>
          </w:tcPr>
          <w:p>
            <w:pPr>
              <w:pStyle w:val="19"/>
            </w:pPr>
            <w:r>
              <w:t>指导实践</w:t>
            </w:r>
          </w:p>
        </w:tc>
        <w:tc>
          <w:tcPr>
            <w:tcW w:w="2835" w:type="dxa"/>
            <w:vAlign w:val="center"/>
          </w:tcPr>
          <w:p>
            <w:pPr>
              <w:pStyle w:val="19"/>
            </w:pPr>
            <w:r>
              <w:t>推动工作执行</w:t>
            </w:r>
          </w:p>
        </w:tc>
        <w:tc>
          <w:tcPr>
            <w:tcW w:w="2551" w:type="dxa"/>
            <w:vAlign w:val="center"/>
          </w:tcPr>
          <w:p>
            <w:pPr>
              <w:pStyle w:val="19"/>
            </w:pPr>
            <w:r>
              <w:t>提升</w:t>
            </w:r>
          </w:p>
        </w:tc>
        <w:tc>
          <w:tcPr>
            <w:tcW w:w="2268" w:type="dxa"/>
            <w:vAlign w:val="center"/>
          </w:tcPr>
          <w:p>
            <w:pPr>
              <w:pStyle w:val="19"/>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服务对象满意度</w:t>
            </w:r>
          </w:p>
        </w:tc>
        <w:tc>
          <w:tcPr>
            <w:tcW w:w="2835" w:type="dxa"/>
            <w:vAlign w:val="center"/>
          </w:tcPr>
          <w:p>
            <w:pPr>
              <w:pStyle w:val="19"/>
            </w:pPr>
            <w:r>
              <w:t>服务对象满意度</w:t>
            </w:r>
          </w:p>
        </w:tc>
        <w:tc>
          <w:tcPr>
            <w:tcW w:w="2551" w:type="dxa"/>
            <w:vAlign w:val="center"/>
          </w:tcPr>
          <w:p>
            <w:pPr>
              <w:pStyle w:val="19"/>
            </w:pPr>
            <w:r>
              <w:t>≥90%</w:t>
            </w:r>
          </w:p>
        </w:tc>
        <w:tc>
          <w:tcPr>
            <w:tcW w:w="2268" w:type="dxa"/>
            <w:vAlign w:val="center"/>
          </w:tcPr>
          <w:p>
            <w:pPr>
              <w:pStyle w:val="19"/>
            </w:pPr>
            <w:r>
              <w:t>走访调查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8、农村文化建设专项资金县级配套资金绩效目标表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1.强化日常管理，提高数字化建设水平，助力全民阅读活动开展，牢牢占领基层文化阵地</w:t>
            </w:r>
          </w:p>
          <w:p>
            <w:pPr>
              <w:pStyle w:val="19"/>
            </w:pPr>
            <w:r>
              <w:t>2.配备更新农家书屋出版物，加强农村文化阵地建设</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农家书屋覆盖村街数量</w:t>
            </w:r>
          </w:p>
        </w:tc>
        <w:tc>
          <w:tcPr>
            <w:tcW w:w="2835" w:type="dxa"/>
            <w:vAlign w:val="center"/>
          </w:tcPr>
          <w:p>
            <w:pPr>
              <w:pStyle w:val="19"/>
            </w:pPr>
            <w:r>
              <w:t>农家书屋覆盖村街数量情况</w:t>
            </w:r>
          </w:p>
        </w:tc>
        <w:tc>
          <w:tcPr>
            <w:tcW w:w="2551" w:type="dxa"/>
            <w:vAlign w:val="center"/>
          </w:tcPr>
          <w:p>
            <w:pPr>
              <w:pStyle w:val="19"/>
            </w:pPr>
            <w:r>
              <w:t>≥105村</w:t>
            </w:r>
          </w:p>
        </w:tc>
        <w:tc>
          <w:tcPr>
            <w:tcW w:w="2268" w:type="dxa"/>
            <w:vAlign w:val="center"/>
          </w:tcPr>
          <w:p>
            <w:pPr>
              <w:pStyle w:val="19"/>
            </w:pPr>
            <w:r>
              <w:t>上级通知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出版物验收合格率</w:t>
            </w:r>
          </w:p>
        </w:tc>
        <w:tc>
          <w:tcPr>
            <w:tcW w:w="2835" w:type="dxa"/>
            <w:vAlign w:val="center"/>
          </w:tcPr>
          <w:p>
            <w:pPr>
              <w:pStyle w:val="19"/>
            </w:pPr>
            <w:r>
              <w:t>出版物验收合格情况</w:t>
            </w:r>
          </w:p>
        </w:tc>
        <w:tc>
          <w:tcPr>
            <w:tcW w:w="2551" w:type="dxa"/>
            <w:vAlign w:val="center"/>
          </w:tcPr>
          <w:p>
            <w:pPr>
              <w:pStyle w:val="19"/>
            </w:pPr>
            <w:r>
              <w:t>100%</w:t>
            </w:r>
          </w:p>
        </w:tc>
        <w:tc>
          <w:tcPr>
            <w:tcW w:w="2268" w:type="dxa"/>
            <w:vAlign w:val="center"/>
          </w:tcPr>
          <w:p>
            <w:pPr>
              <w:pStyle w:val="19"/>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更新配备完成时间</w:t>
            </w:r>
          </w:p>
        </w:tc>
        <w:tc>
          <w:tcPr>
            <w:tcW w:w="2835" w:type="dxa"/>
            <w:vAlign w:val="center"/>
          </w:tcPr>
          <w:p>
            <w:pPr>
              <w:pStyle w:val="19"/>
            </w:pPr>
            <w:r>
              <w:t>更新配备时间情况</w:t>
            </w:r>
          </w:p>
        </w:tc>
        <w:tc>
          <w:tcPr>
            <w:tcW w:w="2551" w:type="dxa"/>
            <w:vAlign w:val="center"/>
          </w:tcPr>
          <w:p>
            <w:pPr>
              <w:pStyle w:val="19"/>
            </w:pPr>
            <w:r>
              <w:t>11月底</w:t>
            </w:r>
          </w:p>
        </w:tc>
        <w:tc>
          <w:tcPr>
            <w:tcW w:w="2268" w:type="dxa"/>
            <w:vAlign w:val="center"/>
          </w:tcPr>
          <w:p>
            <w:pPr>
              <w:pStyle w:val="19"/>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单个行政村更新配套成本</w:t>
            </w:r>
          </w:p>
        </w:tc>
        <w:tc>
          <w:tcPr>
            <w:tcW w:w="2835" w:type="dxa"/>
            <w:vAlign w:val="center"/>
          </w:tcPr>
          <w:p>
            <w:pPr>
              <w:pStyle w:val="19"/>
            </w:pPr>
            <w:r>
              <w:t>单个行政村更新配套出版物情况</w:t>
            </w:r>
          </w:p>
        </w:tc>
        <w:tc>
          <w:tcPr>
            <w:tcW w:w="2551" w:type="dxa"/>
            <w:vAlign w:val="center"/>
          </w:tcPr>
          <w:p>
            <w:pPr>
              <w:pStyle w:val="19"/>
            </w:pPr>
            <w:r>
              <w:t>≤2000元/村</w:t>
            </w:r>
          </w:p>
        </w:tc>
        <w:tc>
          <w:tcPr>
            <w:tcW w:w="2268" w:type="dxa"/>
            <w:vAlign w:val="center"/>
          </w:tcPr>
          <w:p>
            <w:pPr>
              <w:pStyle w:val="19"/>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效益指标</w:t>
            </w:r>
          </w:p>
        </w:tc>
        <w:tc>
          <w:tcPr>
            <w:tcW w:w="2268" w:type="dxa"/>
            <w:vAlign w:val="center"/>
          </w:tcPr>
          <w:p>
            <w:pPr>
              <w:pStyle w:val="19"/>
            </w:pPr>
            <w:r>
              <w:t>社会效益指标</w:t>
            </w:r>
          </w:p>
        </w:tc>
        <w:tc>
          <w:tcPr>
            <w:tcW w:w="2835" w:type="dxa"/>
            <w:vAlign w:val="center"/>
          </w:tcPr>
          <w:p>
            <w:pPr>
              <w:pStyle w:val="19"/>
            </w:pPr>
            <w:r>
              <w:t>加强农村文化阵地建设</w:t>
            </w:r>
          </w:p>
        </w:tc>
        <w:tc>
          <w:tcPr>
            <w:tcW w:w="2835" w:type="dxa"/>
            <w:vAlign w:val="center"/>
          </w:tcPr>
          <w:p>
            <w:pPr>
              <w:pStyle w:val="19"/>
            </w:pPr>
            <w:r>
              <w:t>农村文化阵地建设情况</w:t>
            </w:r>
          </w:p>
        </w:tc>
        <w:tc>
          <w:tcPr>
            <w:tcW w:w="2551" w:type="dxa"/>
            <w:vAlign w:val="center"/>
          </w:tcPr>
          <w:p>
            <w:pPr>
              <w:pStyle w:val="19"/>
            </w:pPr>
            <w:r>
              <w:t>加强</w:t>
            </w:r>
          </w:p>
        </w:tc>
        <w:tc>
          <w:tcPr>
            <w:tcW w:w="2268" w:type="dxa"/>
            <w:vAlign w:val="center"/>
          </w:tcPr>
          <w:p>
            <w:pPr>
              <w:pStyle w:val="19"/>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可持续影响指标</w:t>
            </w:r>
          </w:p>
        </w:tc>
        <w:tc>
          <w:tcPr>
            <w:tcW w:w="2835" w:type="dxa"/>
            <w:vAlign w:val="center"/>
          </w:tcPr>
          <w:p>
            <w:pPr>
              <w:pStyle w:val="19"/>
            </w:pPr>
            <w:r>
              <w:t>农家书屋覆盖率</w:t>
            </w:r>
          </w:p>
        </w:tc>
        <w:tc>
          <w:tcPr>
            <w:tcW w:w="2835" w:type="dxa"/>
            <w:vAlign w:val="center"/>
          </w:tcPr>
          <w:p>
            <w:pPr>
              <w:pStyle w:val="19"/>
            </w:pPr>
            <w:r>
              <w:t>农家书屋覆盖率</w:t>
            </w:r>
          </w:p>
        </w:tc>
        <w:tc>
          <w:tcPr>
            <w:tcW w:w="2551" w:type="dxa"/>
            <w:vAlign w:val="center"/>
          </w:tcPr>
          <w:p>
            <w:pPr>
              <w:pStyle w:val="19"/>
            </w:pPr>
            <w:r>
              <w:t>≥90%</w:t>
            </w:r>
          </w:p>
        </w:tc>
        <w:tc>
          <w:tcPr>
            <w:tcW w:w="2268" w:type="dxa"/>
            <w:vAlign w:val="center"/>
          </w:tcPr>
          <w:p>
            <w:pPr>
              <w:pStyle w:val="19"/>
            </w:pPr>
            <w:r>
              <w:t>活动走访调查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群众对农家书屋综合满意度</w:t>
            </w:r>
          </w:p>
        </w:tc>
        <w:tc>
          <w:tcPr>
            <w:tcW w:w="2835" w:type="dxa"/>
            <w:vAlign w:val="center"/>
          </w:tcPr>
          <w:p>
            <w:pPr>
              <w:pStyle w:val="19"/>
            </w:pPr>
            <w:r>
              <w:t>群众对农家书屋综合满意度</w:t>
            </w:r>
          </w:p>
        </w:tc>
        <w:tc>
          <w:tcPr>
            <w:tcW w:w="2551" w:type="dxa"/>
            <w:vAlign w:val="center"/>
          </w:tcPr>
          <w:p>
            <w:pPr>
              <w:pStyle w:val="19"/>
            </w:pPr>
            <w:r>
              <w:t>≥90%</w:t>
            </w:r>
          </w:p>
        </w:tc>
        <w:tc>
          <w:tcPr>
            <w:tcW w:w="2268" w:type="dxa"/>
            <w:vAlign w:val="center"/>
          </w:tcPr>
          <w:p>
            <w:pPr>
              <w:pStyle w:val="19"/>
            </w:pPr>
            <w:r>
              <w:t>活动走访调查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9、扫黄打非工作经费绩效目标表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1.打击非法出版物等违法行为</w:t>
            </w:r>
          </w:p>
          <w:p>
            <w:pPr>
              <w:pStyle w:val="19"/>
            </w:pPr>
            <w:r>
              <w:t>2.净化文化市场，营造良好社会文化环境</w:t>
            </w:r>
          </w:p>
          <w:p>
            <w:pPr>
              <w:pStyle w:val="19"/>
            </w:pPr>
            <w:r>
              <w:t>3.为新时代加快建设经济强县、美丽大厂保驾护航</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印发宣传资料数量</w:t>
            </w:r>
          </w:p>
        </w:tc>
        <w:tc>
          <w:tcPr>
            <w:tcW w:w="2835" w:type="dxa"/>
            <w:vAlign w:val="center"/>
          </w:tcPr>
          <w:p>
            <w:pPr>
              <w:pStyle w:val="19"/>
            </w:pPr>
            <w:r>
              <w:t>宣传资料印发数量情况</w:t>
            </w:r>
          </w:p>
        </w:tc>
        <w:tc>
          <w:tcPr>
            <w:tcW w:w="2551" w:type="dxa"/>
            <w:vAlign w:val="center"/>
          </w:tcPr>
          <w:p>
            <w:pPr>
              <w:pStyle w:val="19"/>
            </w:pPr>
            <w:r>
              <w:t>≥650份</w:t>
            </w:r>
          </w:p>
        </w:tc>
        <w:tc>
          <w:tcPr>
            <w:tcW w:w="2268" w:type="dxa"/>
            <w:vAlign w:val="center"/>
          </w:tcPr>
          <w:p>
            <w:pPr>
              <w:pStyle w:val="19"/>
            </w:pPr>
            <w:r>
              <w:t>往年数据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数量指标</w:t>
            </w:r>
          </w:p>
        </w:tc>
        <w:tc>
          <w:tcPr>
            <w:tcW w:w="2835" w:type="dxa"/>
            <w:vAlign w:val="center"/>
          </w:tcPr>
          <w:p>
            <w:pPr>
              <w:pStyle w:val="19"/>
            </w:pPr>
            <w:r>
              <w:t>组织会议数量</w:t>
            </w:r>
          </w:p>
        </w:tc>
        <w:tc>
          <w:tcPr>
            <w:tcW w:w="2835" w:type="dxa"/>
            <w:vAlign w:val="center"/>
          </w:tcPr>
          <w:p>
            <w:pPr>
              <w:pStyle w:val="19"/>
            </w:pPr>
            <w:r>
              <w:t>组织“扫黄打非”相关会议场次</w:t>
            </w:r>
          </w:p>
        </w:tc>
        <w:tc>
          <w:tcPr>
            <w:tcW w:w="2551" w:type="dxa"/>
            <w:vAlign w:val="center"/>
          </w:tcPr>
          <w:p>
            <w:pPr>
              <w:pStyle w:val="19"/>
            </w:pPr>
            <w:r>
              <w:t>≥1场</w:t>
            </w:r>
          </w:p>
        </w:tc>
        <w:tc>
          <w:tcPr>
            <w:tcW w:w="2268" w:type="dxa"/>
            <w:vAlign w:val="center"/>
          </w:tcPr>
          <w:p>
            <w:pPr>
              <w:pStyle w:val="19"/>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宣传覆盖率</w:t>
            </w:r>
          </w:p>
        </w:tc>
        <w:tc>
          <w:tcPr>
            <w:tcW w:w="2835" w:type="dxa"/>
            <w:vAlign w:val="center"/>
          </w:tcPr>
          <w:p>
            <w:pPr>
              <w:pStyle w:val="19"/>
            </w:pPr>
            <w:r>
              <w:t>组织宣传活动覆盖情况</w:t>
            </w:r>
          </w:p>
        </w:tc>
        <w:tc>
          <w:tcPr>
            <w:tcW w:w="2551" w:type="dxa"/>
            <w:vAlign w:val="center"/>
          </w:tcPr>
          <w:p>
            <w:pPr>
              <w:pStyle w:val="19"/>
            </w:pPr>
            <w:r>
              <w:t>90%</w:t>
            </w:r>
          </w:p>
        </w:tc>
        <w:tc>
          <w:tcPr>
            <w:tcW w:w="2268" w:type="dxa"/>
            <w:vAlign w:val="center"/>
          </w:tcPr>
          <w:p>
            <w:pPr>
              <w:pStyle w:val="19"/>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会议出勤率</w:t>
            </w:r>
          </w:p>
        </w:tc>
        <w:tc>
          <w:tcPr>
            <w:tcW w:w="2835" w:type="dxa"/>
            <w:vAlign w:val="center"/>
          </w:tcPr>
          <w:p>
            <w:pPr>
              <w:pStyle w:val="19"/>
            </w:pPr>
            <w:r>
              <w:t>“扫黄打非”相关会议出勤情况</w:t>
            </w:r>
          </w:p>
        </w:tc>
        <w:tc>
          <w:tcPr>
            <w:tcW w:w="2551" w:type="dxa"/>
            <w:vAlign w:val="center"/>
          </w:tcPr>
          <w:p>
            <w:pPr>
              <w:pStyle w:val="19"/>
            </w:pPr>
            <w:r>
              <w:t>≥90%</w:t>
            </w:r>
          </w:p>
        </w:tc>
        <w:tc>
          <w:tcPr>
            <w:tcW w:w="2268" w:type="dxa"/>
            <w:vAlign w:val="center"/>
          </w:tcPr>
          <w:p>
            <w:pPr>
              <w:pStyle w:val="19"/>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资金到位及时</w:t>
            </w:r>
          </w:p>
        </w:tc>
        <w:tc>
          <w:tcPr>
            <w:tcW w:w="2835" w:type="dxa"/>
            <w:vAlign w:val="center"/>
          </w:tcPr>
          <w:p>
            <w:pPr>
              <w:pStyle w:val="19"/>
            </w:pPr>
            <w:r>
              <w:t>项目实施是否确定资金及时到位</w:t>
            </w:r>
          </w:p>
        </w:tc>
        <w:tc>
          <w:tcPr>
            <w:tcW w:w="2551" w:type="dxa"/>
            <w:vAlign w:val="center"/>
          </w:tcPr>
          <w:p>
            <w:pPr>
              <w:pStyle w:val="19"/>
            </w:pPr>
            <w:r>
              <w:t>资金到位情况</w:t>
            </w:r>
          </w:p>
        </w:tc>
        <w:tc>
          <w:tcPr>
            <w:tcW w:w="2268" w:type="dxa"/>
            <w:vAlign w:val="center"/>
          </w:tcPr>
          <w:p>
            <w:pPr>
              <w:pStyle w:val="19"/>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预算控制成本</w:t>
            </w:r>
          </w:p>
        </w:tc>
        <w:tc>
          <w:tcPr>
            <w:tcW w:w="2835" w:type="dxa"/>
            <w:vAlign w:val="center"/>
          </w:tcPr>
          <w:p>
            <w:pPr>
              <w:pStyle w:val="19"/>
            </w:pPr>
            <w:r>
              <w:t>项目实际支出不超出预算安排</w:t>
            </w:r>
          </w:p>
        </w:tc>
        <w:tc>
          <w:tcPr>
            <w:tcW w:w="2551" w:type="dxa"/>
            <w:vAlign w:val="center"/>
          </w:tcPr>
          <w:p>
            <w:pPr>
              <w:pStyle w:val="19"/>
            </w:pPr>
            <w:r>
              <w:t>≤2万元</w:t>
            </w:r>
          </w:p>
        </w:tc>
        <w:tc>
          <w:tcPr>
            <w:tcW w:w="2268" w:type="dxa"/>
            <w:vAlign w:val="center"/>
          </w:tcPr>
          <w:p>
            <w:pPr>
              <w:pStyle w:val="19"/>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效益指标</w:t>
            </w:r>
          </w:p>
        </w:tc>
        <w:tc>
          <w:tcPr>
            <w:tcW w:w="2268" w:type="dxa"/>
            <w:vAlign w:val="center"/>
          </w:tcPr>
          <w:p>
            <w:pPr>
              <w:pStyle w:val="19"/>
            </w:pPr>
            <w:r>
              <w:t>社会效益指标</w:t>
            </w:r>
          </w:p>
        </w:tc>
        <w:tc>
          <w:tcPr>
            <w:tcW w:w="2835" w:type="dxa"/>
            <w:vAlign w:val="center"/>
          </w:tcPr>
          <w:p>
            <w:pPr>
              <w:pStyle w:val="19"/>
            </w:pPr>
            <w:r>
              <w:t>优化“扫黄打非”社会环境</w:t>
            </w:r>
          </w:p>
        </w:tc>
        <w:tc>
          <w:tcPr>
            <w:tcW w:w="2835" w:type="dxa"/>
            <w:vAlign w:val="center"/>
          </w:tcPr>
          <w:p>
            <w:pPr>
              <w:pStyle w:val="19"/>
            </w:pPr>
            <w:r>
              <w:t>“扫黄打非”社会环境情况</w:t>
            </w:r>
          </w:p>
        </w:tc>
        <w:tc>
          <w:tcPr>
            <w:tcW w:w="2551" w:type="dxa"/>
            <w:vAlign w:val="center"/>
          </w:tcPr>
          <w:p>
            <w:pPr>
              <w:pStyle w:val="19"/>
            </w:pPr>
            <w:r>
              <w:t>优化</w:t>
            </w:r>
          </w:p>
        </w:tc>
        <w:tc>
          <w:tcPr>
            <w:tcW w:w="2268" w:type="dxa"/>
            <w:vAlign w:val="center"/>
          </w:tcPr>
          <w:p>
            <w:pPr>
              <w:pStyle w:val="19"/>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可持续影响指标</w:t>
            </w:r>
          </w:p>
        </w:tc>
        <w:tc>
          <w:tcPr>
            <w:tcW w:w="2835" w:type="dxa"/>
            <w:vAlign w:val="center"/>
          </w:tcPr>
          <w:p>
            <w:pPr>
              <w:pStyle w:val="19"/>
            </w:pPr>
            <w:r>
              <w:t>意识形态、文化安全</w:t>
            </w:r>
          </w:p>
        </w:tc>
        <w:tc>
          <w:tcPr>
            <w:tcW w:w="2835" w:type="dxa"/>
            <w:vAlign w:val="center"/>
          </w:tcPr>
          <w:p>
            <w:pPr>
              <w:pStyle w:val="19"/>
            </w:pPr>
            <w:r>
              <w:t>净化文化市场环境</w:t>
            </w:r>
          </w:p>
        </w:tc>
        <w:tc>
          <w:tcPr>
            <w:tcW w:w="2551" w:type="dxa"/>
            <w:vAlign w:val="center"/>
          </w:tcPr>
          <w:p>
            <w:pPr>
              <w:pStyle w:val="19"/>
            </w:pPr>
            <w:r>
              <w:t>净化文化环境</w:t>
            </w:r>
          </w:p>
        </w:tc>
        <w:tc>
          <w:tcPr>
            <w:tcW w:w="2268" w:type="dxa"/>
            <w:vAlign w:val="center"/>
          </w:tcPr>
          <w:p>
            <w:pPr>
              <w:pStyle w:val="19"/>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服务对象满意度</w:t>
            </w:r>
          </w:p>
        </w:tc>
        <w:tc>
          <w:tcPr>
            <w:tcW w:w="2835" w:type="dxa"/>
            <w:vAlign w:val="center"/>
          </w:tcPr>
          <w:p>
            <w:pPr>
              <w:pStyle w:val="19"/>
            </w:pPr>
            <w:r>
              <w:t>对“扫黄打非”工作的认可满意度</w:t>
            </w:r>
          </w:p>
        </w:tc>
        <w:tc>
          <w:tcPr>
            <w:tcW w:w="2551" w:type="dxa"/>
            <w:vAlign w:val="center"/>
          </w:tcPr>
          <w:p>
            <w:pPr>
              <w:pStyle w:val="19"/>
            </w:pPr>
            <w:r>
              <w:t>≥90%</w:t>
            </w:r>
          </w:p>
        </w:tc>
        <w:tc>
          <w:tcPr>
            <w:tcW w:w="2268" w:type="dxa"/>
            <w:vAlign w:val="center"/>
          </w:tcPr>
          <w:p>
            <w:pPr>
              <w:pStyle w:val="19"/>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10、社会管理服务经费绩效目标表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1.工作人员数量与任务量相匹配</w:t>
            </w:r>
          </w:p>
          <w:p>
            <w:pPr>
              <w:pStyle w:val="19"/>
            </w:pPr>
            <w:r>
              <w:t>2.工作人员素质符合工作需要</w:t>
            </w:r>
          </w:p>
          <w:p>
            <w:pPr>
              <w:pStyle w:val="19"/>
            </w:pPr>
            <w:r>
              <w:t>3.及时支付项目资金</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服务人员数量匹配率</w:t>
            </w:r>
          </w:p>
        </w:tc>
        <w:tc>
          <w:tcPr>
            <w:tcW w:w="2835" w:type="dxa"/>
            <w:vAlign w:val="center"/>
          </w:tcPr>
          <w:p>
            <w:pPr>
              <w:pStyle w:val="19"/>
            </w:pPr>
            <w:r>
              <w:t>服务人员数量匹配率</w:t>
            </w:r>
          </w:p>
        </w:tc>
        <w:tc>
          <w:tcPr>
            <w:tcW w:w="2551" w:type="dxa"/>
            <w:vAlign w:val="center"/>
          </w:tcPr>
          <w:p>
            <w:pPr>
              <w:pStyle w:val="19"/>
            </w:pPr>
            <w:r>
              <w:t>100%</w:t>
            </w:r>
          </w:p>
        </w:tc>
        <w:tc>
          <w:tcPr>
            <w:tcW w:w="2268" w:type="dxa"/>
            <w:vAlign w:val="center"/>
          </w:tcPr>
          <w:p>
            <w:pPr>
              <w:pStyle w:val="19"/>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岗位需求合格率</w:t>
            </w:r>
          </w:p>
        </w:tc>
        <w:tc>
          <w:tcPr>
            <w:tcW w:w="2835" w:type="dxa"/>
            <w:vAlign w:val="center"/>
          </w:tcPr>
          <w:p>
            <w:pPr>
              <w:pStyle w:val="19"/>
            </w:pPr>
            <w:r>
              <w:t>岗位需求与服务人员匹配度</w:t>
            </w:r>
          </w:p>
        </w:tc>
        <w:tc>
          <w:tcPr>
            <w:tcW w:w="2551" w:type="dxa"/>
            <w:vAlign w:val="center"/>
          </w:tcPr>
          <w:p>
            <w:pPr>
              <w:pStyle w:val="19"/>
            </w:pPr>
            <w:r>
              <w:t>100%</w:t>
            </w:r>
          </w:p>
        </w:tc>
        <w:tc>
          <w:tcPr>
            <w:tcW w:w="2268" w:type="dxa"/>
            <w:vAlign w:val="center"/>
          </w:tcPr>
          <w:p>
            <w:pPr>
              <w:pStyle w:val="19"/>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资金支付及时性</w:t>
            </w:r>
          </w:p>
        </w:tc>
        <w:tc>
          <w:tcPr>
            <w:tcW w:w="2835" w:type="dxa"/>
            <w:vAlign w:val="center"/>
          </w:tcPr>
          <w:p>
            <w:pPr>
              <w:pStyle w:val="19"/>
            </w:pPr>
            <w:r>
              <w:t>按规定及时支付资金期数与总支付期数比例</w:t>
            </w:r>
          </w:p>
        </w:tc>
        <w:tc>
          <w:tcPr>
            <w:tcW w:w="2551" w:type="dxa"/>
            <w:vAlign w:val="center"/>
          </w:tcPr>
          <w:p>
            <w:pPr>
              <w:pStyle w:val="19"/>
            </w:pPr>
            <w:r>
              <w:t>100%</w:t>
            </w:r>
          </w:p>
        </w:tc>
        <w:tc>
          <w:tcPr>
            <w:tcW w:w="2268" w:type="dxa"/>
            <w:vAlign w:val="center"/>
          </w:tcPr>
          <w:p>
            <w:pPr>
              <w:pStyle w:val="19"/>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预算控制数</w:t>
            </w:r>
          </w:p>
        </w:tc>
        <w:tc>
          <w:tcPr>
            <w:tcW w:w="2835" w:type="dxa"/>
            <w:vAlign w:val="center"/>
          </w:tcPr>
          <w:p>
            <w:pPr>
              <w:pStyle w:val="19"/>
            </w:pPr>
            <w:r>
              <w:t>考察项目是否超出预算的情况</w:t>
            </w:r>
          </w:p>
        </w:tc>
        <w:tc>
          <w:tcPr>
            <w:tcW w:w="2551" w:type="dxa"/>
            <w:vAlign w:val="center"/>
          </w:tcPr>
          <w:p>
            <w:pPr>
              <w:pStyle w:val="19"/>
            </w:pPr>
            <w:r>
              <w:t>≤61万元</w:t>
            </w:r>
          </w:p>
        </w:tc>
        <w:tc>
          <w:tcPr>
            <w:tcW w:w="2268" w:type="dxa"/>
            <w:vAlign w:val="center"/>
          </w:tcPr>
          <w:p>
            <w:pPr>
              <w:pStyle w:val="19"/>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效益指标</w:t>
            </w:r>
          </w:p>
        </w:tc>
        <w:tc>
          <w:tcPr>
            <w:tcW w:w="2268" w:type="dxa"/>
            <w:vAlign w:val="center"/>
          </w:tcPr>
          <w:p>
            <w:pPr>
              <w:pStyle w:val="19"/>
            </w:pPr>
            <w:r>
              <w:t>社会效益指标</w:t>
            </w:r>
          </w:p>
        </w:tc>
        <w:tc>
          <w:tcPr>
            <w:tcW w:w="2835" w:type="dxa"/>
            <w:vAlign w:val="center"/>
          </w:tcPr>
          <w:p>
            <w:pPr>
              <w:pStyle w:val="19"/>
            </w:pPr>
            <w:r>
              <w:t>单位工作正常运转率</w:t>
            </w:r>
          </w:p>
        </w:tc>
        <w:tc>
          <w:tcPr>
            <w:tcW w:w="2835" w:type="dxa"/>
            <w:vAlign w:val="center"/>
          </w:tcPr>
          <w:p>
            <w:pPr>
              <w:pStyle w:val="19"/>
            </w:pPr>
            <w:r>
              <w:t>单位工作运转情况</w:t>
            </w:r>
          </w:p>
        </w:tc>
        <w:tc>
          <w:tcPr>
            <w:tcW w:w="2551" w:type="dxa"/>
            <w:vAlign w:val="center"/>
          </w:tcPr>
          <w:p>
            <w:pPr>
              <w:pStyle w:val="19"/>
            </w:pPr>
            <w:r>
              <w:t>100%</w:t>
            </w:r>
          </w:p>
        </w:tc>
        <w:tc>
          <w:tcPr>
            <w:tcW w:w="2268" w:type="dxa"/>
            <w:vAlign w:val="center"/>
          </w:tcPr>
          <w:p>
            <w:pPr>
              <w:pStyle w:val="19"/>
            </w:pPr>
            <w:r>
              <w:t>年终考核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可持续影响指标</w:t>
            </w:r>
          </w:p>
        </w:tc>
        <w:tc>
          <w:tcPr>
            <w:tcW w:w="2835" w:type="dxa"/>
            <w:vAlign w:val="center"/>
          </w:tcPr>
          <w:p>
            <w:pPr>
              <w:pStyle w:val="19"/>
            </w:pPr>
            <w:r>
              <w:t>服务期限</w:t>
            </w:r>
          </w:p>
        </w:tc>
        <w:tc>
          <w:tcPr>
            <w:tcW w:w="2835" w:type="dxa"/>
            <w:vAlign w:val="center"/>
          </w:tcPr>
          <w:p>
            <w:pPr>
              <w:pStyle w:val="19"/>
            </w:pPr>
            <w:r>
              <w:t>与派遣公司签订服务合同</w:t>
            </w:r>
          </w:p>
        </w:tc>
        <w:tc>
          <w:tcPr>
            <w:tcW w:w="2551" w:type="dxa"/>
            <w:vAlign w:val="center"/>
          </w:tcPr>
          <w:p>
            <w:pPr>
              <w:pStyle w:val="19"/>
            </w:pPr>
            <w:r>
              <w:t>2年</w:t>
            </w:r>
          </w:p>
        </w:tc>
        <w:tc>
          <w:tcPr>
            <w:tcW w:w="2268" w:type="dxa"/>
            <w:vAlign w:val="center"/>
          </w:tcPr>
          <w:p>
            <w:pPr>
              <w:pStyle w:val="19"/>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服务对象的综合满意度</w:t>
            </w:r>
          </w:p>
        </w:tc>
        <w:tc>
          <w:tcPr>
            <w:tcW w:w="2835" w:type="dxa"/>
            <w:vAlign w:val="center"/>
          </w:tcPr>
          <w:p>
            <w:pPr>
              <w:pStyle w:val="19"/>
            </w:pPr>
            <w:r>
              <w:t>服务对象对项目执行情况的满意度</w:t>
            </w:r>
          </w:p>
        </w:tc>
        <w:tc>
          <w:tcPr>
            <w:tcW w:w="2551" w:type="dxa"/>
            <w:vAlign w:val="center"/>
          </w:tcPr>
          <w:p>
            <w:pPr>
              <w:pStyle w:val="19"/>
            </w:pPr>
            <w:r>
              <w:t>≥95%</w:t>
            </w:r>
          </w:p>
        </w:tc>
        <w:tc>
          <w:tcPr>
            <w:tcW w:w="2268" w:type="dxa"/>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11、文化文艺活动及扶持文艺团体经费绩效目标表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1.组织“两节”文化活动，夏秋彩色周末活动，文化惠民下乡巡演，不断满足群众精神文化需求</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组织参观人数</w:t>
            </w:r>
          </w:p>
        </w:tc>
        <w:tc>
          <w:tcPr>
            <w:tcW w:w="2835" w:type="dxa"/>
            <w:vAlign w:val="center"/>
          </w:tcPr>
          <w:p>
            <w:pPr>
              <w:pStyle w:val="19"/>
            </w:pPr>
            <w:r>
              <w:t>组织参观人数</w:t>
            </w:r>
          </w:p>
        </w:tc>
        <w:tc>
          <w:tcPr>
            <w:tcW w:w="2551" w:type="dxa"/>
            <w:vAlign w:val="center"/>
          </w:tcPr>
          <w:p>
            <w:pPr>
              <w:pStyle w:val="19"/>
            </w:pPr>
            <w:r>
              <w:t>≥50000人</w:t>
            </w:r>
          </w:p>
        </w:tc>
        <w:tc>
          <w:tcPr>
            <w:tcW w:w="2268" w:type="dxa"/>
            <w:vAlign w:val="center"/>
          </w:tcPr>
          <w:p>
            <w:pPr>
              <w:pStyle w:val="19"/>
            </w:pPr>
            <w:r>
              <w:t>往年数据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数量指标</w:t>
            </w:r>
          </w:p>
        </w:tc>
        <w:tc>
          <w:tcPr>
            <w:tcW w:w="2835" w:type="dxa"/>
            <w:vAlign w:val="center"/>
          </w:tcPr>
          <w:p>
            <w:pPr>
              <w:pStyle w:val="19"/>
            </w:pPr>
            <w:r>
              <w:t>组织活动场次</w:t>
            </w:r>
          </w:p>
        </w:tc>
        <w:tc>
          <w:tcPr>
            <w:tcW w:w="2835" w:type="dxa"/>
            <w:vAlign w:val="center"/>
          </w:tcPr>
          <w:p>
            <w:pPr>
              <w:pStyle w:val="19"/>
            </w:pPr>
            <w:r>
              <w:t>开展文艺活动场次</w:t>
            </w:r>
          </w:p>
        </w:tc>
        <w:tc>
          <w:tcPr>
            <w:tcW w:w="2551" w:type="dxa"/>
            <w:vAlign w:val="center"/>
          </w:tcPr>
          <w:p>
            <w:pPr>
              <w:pStyle w:val="19"/>
            </w:pPr>
            <w:r>
              <w:t>≥20场</w:t>
            </w:r>
          </w:p>
        </w:tc>
        <w:tc>
          <w:tcPr>
            <w:tcW w:w="2268" w:type="dxa"/>
            <w:vAlign w:val="center"/>
          </w:tcPr>
          <w:p>
            <w:pPr>
              <w:pStyle w:val="19"/>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年度工作完成率</w:t>
            </w:r>
          </w:p>
        </w:tc>
        <w:tc>
          <w:tcPr>
            <w:tcW w:w="2835" w:type="dxa"/>
            <w:vAlign w:val="center"/>
          </w:tcPr>
          <w:p>
            <w:pPr>
              <w:pStyle w:val="19"/>
            </w:pPr>
            <w:r>
              <w:t>年度工作完成情况</w:t>
            </w:r>
          </w:p>
        </w:tc>
        <w:tc>
          <w:tcPr>
            <w:tcW w:w="2551" w:type="dxa"/>
            <w:vAlign w:val="center"/>
          </w:tcPr>
          <w:p>
            <w:pPr>
              <w:pStyle w:val="19"/>
            </w:pPr>
            <w:r>
              <w:t>≥90%</w:t>
            </w:r>
          </w:p>
        </w:tc>
        <w:tc>
          <w:tcPr>
            <w:tcW w:w="2268" w:type="dxa"/>
            <w:vAlign w:val="center"/>
          </w:tcPr>
          <w:p>
            <w:pPr>
              <w:pStyle w:val="19"/>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宣传活动开展及时性</w:t>
            </w:r>
          </w:p>
        </w:tc>
        <w:tc>
          <w:tcPr>
            <w:tcW w:w="2835" w:type="dxa"/>
            <w:vAlign w:val="center"/>
          </w:tcPr>
          <w:p>
            <w:pPr>
              <w:pStyle w:val="19"/>
            </w:pPr>
            <w:r>
              <w:t>按特定时间节点组织相关文艺活动</w:t>
            </w:r>
          </w:p>
        </w:tc>
        <w:tc>
          <w:tcPr>
            <w:tcW w:w="2551" w:type="dxa"/>
            <w:vAlign w:val="center"/>
          </w:tcPr>
          <w:p>
            <w:pPr>
              <w:pStyle w:val="19"/>
            </w:pPr>
            <w:r>
              <w:t>及时组织开展活动</w:t>
            </w:r>
          </w:p>
        </w:tc>
        <w:tc>
          <w:tcPr>
            <w:tcW w:w="2268" w:type="dxa"/>
            <w:vAlign w:val="center"/>
          </w:tcPr>
          <w:p>
            <w:pPr>
              <w:pStyle w:val="19"/>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项目成本</w:t>
            </w:r>
          </w:p>
        </w:tc>
        <w:tc>
          <w:tcPr>
            <w:tcW w:w="2835" w:type="dxa"/>
            <w:vAlign w:val="center"/>
          </w:tcPr>
          <w:p>
            <w:pPr>
              <w:pStyle w:val="19"/>
            </w:pPr>
            <w:r>
              <w:t>项目成本在预算金额内</w:t>
            </w:r>
          </w:p>
        </w:tc>
        <w:tc>
          <w:tcPr>
            <w:tcW w:w="2551" w:type="dxa"/>
            <w:vAlign w:val="center"/>
          </w:tcPr>
          <w:p>
            <w:pPr>
              <w:pStyle w:val="19"/>
            </w:pPr>
            <w:r>
              <w:t>≤6万元</w:t>
            </w:r>
          </w:p>
        </w:tc>
        <w:tc>
          <w:tcPr>
            <w:tcW w:w="2268" w:type="dxa"/>
            <w:vAlign w:val="center"/>
          </w:tcPr>
          <w:p>
            <w:pPr>
              <w:pStyle w:val="19"/>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效益指标</w:t>
            </w:r>
          </w:p>
        </w:tc>
        <w:tc>
          <w:tcPr>
            <w:tcW w:w="2268" w:type="dxa"/>
            <w:vAlign w:val="center"/>
          </w:tcPr>
          <w:p>
            <w:pPr>
              <w:pStyle w:val="19"/>
            </w:pPr>
            <w:r>
              <w:t>社会效益指标</w:t>
            </w:r>
          </w:p>
        </w:tc>
        <w:tc>
          <w:tcPr>
            <w:tcW w:w="2835" w:type="dxa"/>
            <w:vAlign w:val="center"/>
          </w:tcPr>
          <w:p>
            <w:pPr>
              <w:pStyle w:val="19"/>
            </w:pPr>
            <w:r>
              <w:t>精神文化需求</w:t>
            </w:r>
          </w:p>
        </w:tc>
        <w:tc>
          <w:tcPr>
            <w:tcW w:w="2835" w:type="dxa"/>
            <w:vAlign w:val="center"/>
          </w:tcPr>
          <w:p>
            <w:pPr>
              <w:pStyle w:val="19"/>
            </w:pPr>
            <w:r>
              <w:t>丰富文化生活需求</w:t>
            </w:r>
          </w:p>
        </w:tc>
        <w:tc>
          <w:tcPr>
            <w:tcW w:w="2551" w:type="dxa"/>
            <w:vAlign w:val="center"/>
          </w:tcPr>
          <w:p>
            <w:pPr>
              <w:pStyle w:val="19"/>
            </w:pPr>
            <w:r>
              <w:t>丰富文化生活</w:t>
            </w:r>
          </w:p>
        </w:tc>
        <w:tc>
          <w:tcPr>
            <w:tcW w:w="2268" w:type="dxa"/>
            <w:vAlign w:val="center"/>
          </w:tcPr>
          <w:p>
            <w:pPr>
              <w:pStyle w:val="19"/>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可持续影响指标</w:t>
            </w:r>
          </w:p>
        </w:tc>
        <w:tc>
          <w:tcPr>
            <w:tcW w:w="2835" w:type="dxa"/>
            <w:vAlign w:val="center"/>
          </w:tcPr>
          <w:p>
            <w:pPr>
              <w:pStyle w:val="19"/>
            </w:pPr>
            <w:r>
              <w:t>提升精神文化生活</w:t>
            </w:r>
          </w:p>
        </w:tc>
        <w:tc>
          <w:tcPr>
            <w:tcW w:w="2835" w:type="dxa"/>
            <w:vAlign w:val="center"/>
          </w:tcPr>
          <w:p>
            <w:pPr>
              <w:pStyle w:val="19"/>
            </w:pPr>
            <w:r>
              <w:t>提升群众精神文化生活</w:t>
            </w:r>
          </w:p>
        </w:tc>
        <w:tc>
          <w:tcPr>
            <w:tcW w:w="2551" w:type="dxa"/>
            <w:vAlign w:val="center"/>
          </w:tcPr>
          <w:p>
            <w:pPr>
              <w:pStyle w:val="19"/>
            </w:pPr>
            <w:r>
              <w:t>显著</w:t>
            </w:r>
          </w:p>
        </w:tc>
        <w:tc>
          <w:tcPr>
            <w:tcW w:w="2268" w:type="dxa"/>
            <w:vAlign w:val="center"/>
          </w:tcPr>
          <w:p>
            <w:pPr>
              <w:pStyle w:val="19"/>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服务对象满意度</w:t>
            </w:r>
          </w:p>
        </w:tc>
        <w:tc>
          <w:tcPr>
            <w:tcW w:w="2835" w:type="dxa"/>
            <w:vAlign w:val="center"/>
          </w:tcPr>
          <w:p>
            <w:pPr>
              <w:pStyle w:val="19"/>
            </w:pPr>
            <w:r>
              <w:t>对“扫黄打非”工作的认可满意度</w:t>
            </w:r>
          </w:p>
        </w:tc>
        <w:tc>
          <w:tcPr>
            <w:tcW w:w="2551" w:type="dxa"/>
            <w:vAlign w:val="center"/>
          </w:tcPr>
          <w:p>
            <w:pPr>
              <w:pStyle w:val="19"/>
            </w:pPr>
            <w:r>
              <w:t>≥90%</w:t>
            </w:r>
          </w:p>
        </w:tc>
        <w:tc>
          <w:tcPr>
            <w:tcW w:w="2268" w:type="dxa"/>
            <w:vAlign w:val="center"/>
          </w:tcPr>
          <w:p>
            <w:pPr>
              <w:pStyle w:val="19"/>
            </w:pPr>
            <w:r>
              <w:t>调查走访</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12、文明交通引导志愿服务费绩效目标表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通过志愿这对车辆行人越线等候红灯、闯红灯和不按规定道路行驶等不文明交通行为进行劝导和纠正，引导广大城乡居民自觉遵守公共交通秩序和有关规定，进一步强化县城居民文明出行意识，进一步提高公民文明素质和城市文明程度</w:t>
            </w:r>
          </w:p>
          <w:p>
            <w:pPr>
              <w:pStyle w:val="19"/>
            </w:pPr>
            <w:r>
              <w:t>2.为我县顺利通过2022年全国（省级）文明城市复检打下坚实基础</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执勤路口数量</w:t>
            </w:r>
          </w:p>
        </w:tc>
        <w:tc>
          <w:tcPr>
            <w:tcW w:w="2835" w:type="dxa"/>
            <w:vAlign w:val="center"/>
          </w:tcPr>
          <w:p>
            <w:pPr>
              <w:pStyle w:val="19"/>
            </w:pPr>
            <w:r>
              <w:t>县城主要路口</w:t>
            </w:r>
          </w:p>
        </w:tc>
        <w:tc>
          <w:tcPr>
            <w:tcW w:w="2551" w:type="dxa"/>
            <w:vAlign w:val="center"/>
          </w:tcPr>
          <w:p>
            <w:pPr>
              <w:pStyle w:val="19"/>
            </w:pPr>
            <w:r>
              <w:t>20路口</w:t>
            </w:r>
          </w:p>
        </w:tc>
        <w:tc>
          <w:tcPr>
            <w:tcW w:w="2268" w:type="dxa"/>
            <w:vAlign w:val="center"/>
          </w:tcPr>
          <w:p>
            <w:pPr>
              <w:pStyle w:val="19"/>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执勤合格率</w:t>
            </w:r>
          </w:p>
        </w:tc>
        <w:tc>
          <w:tcPr>
            <w:tcW w:w="2835" w:type="dxa"/>
            <w:vAlign w:val="center"/>
          </w:tcPr>
          <w:p>
            <w:pPr>
              <w:pStyle w:val="19"/>
            </w:pPr>
            <w:r>
              <w:t>对不文明行为纠正和劝导</w:t>
            </w:r>
          </w:p>
        </w:tc>
        <w:tc>
          <w:tcPr>
            <w:tcW w:w="2551" w:type="dxa"/>
            <w:vAlign w:val="center"/>
          </w:tcPr>
          <w:p>
            <w:pPr>
              <w:pStyle w:val="19"/>
            </w:pPr>
            <w:r>
              <w:t>≥90%</w:t>
            </w:r>
          </w:p>
        </w:tc>
        <w:tc>
          <w:tcPr>
            <w:tcW w:w="2268" w:type="dxa"/>
            <w:vAlign w:val="center"/>
          </w:tcPr>
          <w:p>
            <w:pPr>
              <w:pStyle w:val="19"/>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工作完成及时性</w:t>
            </w:r>
          </w:p>
        </w:tc>
        <w:tc>
          <w:tcPr>
            <w:tcW w:w="2835" w:type="dxa"/>
            <w:vAlign w:val="center"/>
          </w:tcPr>
          <w:p>
            <w:pPr>
              <w:pStyle w:val="19"/>
            </w:pPr>
            <w:r>
              <w:t>按规定时间段在各路口执勤</w:t>
            </w:r>
          </w:p>
        </w:tc>
        <w:tc>
          <w:tcPr>
            <w:tcW w:w="2551" w:type="dxa"/>
            <w:vAlign w:val="center"/>
          </w:tcPr>
          <w:p>
            <w:pPr>
              <w:pStyle w:val="19"/>
            </w:pPr>
            <w:r>
              <w:t>及时</w:t>
            </w:r>
          </w:p>
        </w:tc>
        <w:tc>
          <w:tcPr>
            <w:tcW w:w="2268" w:type="dxa"/>
            <w:vAlign w:val="center"/>
          </w:tcPr>
          <w:p>
            <w:pPr>
              <w:pStyle w:val="19"/>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预算控制数</w:t>
            </w:r>
          </w:p>
        </w:tc>
        <w:tc>
          <w:tcPr>
            <w:tcW w:w="2835" w:type="dxa"/>
            <w:vAlign w:val="center"/>
          </w:tcPr>
          <w:p>
            <w:pPr>
              <w:pStyle w:val="19"/>
            </w:pPr>
            <w:r>
              <w:t>项目实际支出</w:t>
            </w:r>
          </w:p>
        </w:tc>
        <w:tc>
          <w:tcPr>
            <w:tcW w:w="2551" w:type="dxa"/>
            <w:vAlign w:val="center"/>
          </w:tcPr>
          <w:p>
            <w:pPr>
              <w:pStyle w:val="19"/>
            </w:pPr>
            <w:r>
              <w:t>≤100万元</w:t>
            </w:r>
          </w:p>
        </w:tc>
        <w:tc>
          <w:tcPr>
            <w:tcW w:w="2268" w:type="dxa"/>
            <w:vAlign w:val="center"/>
          </w:tcPr>
          <w:p>
            <w:pPr>
              <w:pStyle w:val="19"/>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效益指标</w:t>
            </w:r>
          </w:p>
        </w:tc>
        <w:tc>
          <w:tcPr>
            <w:tcW w:w="2268" w:type="dxa"/>
            <w:vAlign w:val="center"/>
          </w:tcPr>
          <w:p>
            <w:pPr>
              <w:pStyle w:val="19"/>
            </w:pPr>
            <w:r>
              <w:t>社会效益指标</w:t>
            </w:r>
          </w:p>
        </w:tc>
        <w:tc>
          <w:tcPr>
            <w:tcW w:w="2835" w:type="dxa"/>
            <w:vAlign w:val="center"/>
          </w:tcPr>
          <w:p>
            <w:pPr>
              <w:pStyle w:val="19"/>
            </w:pPr>
            <w:r>
              <w:t>文明出行意识</w:t>
            </w:r>
          </w:p>
        </w:tc>
        <w:tc>
          <w:tcPr>
            <w:tcW w:w="2835" w:type="dxa"/>
            <w:vAlign w:val="center"/>
          </w:tcPr>
          <w:p>
            <w:pPr>
              <w:pStyle w:val="19"/>
            </w:pPr>
            <w:r>
              <w:t>通过执勤人员管理，提高群众文明出行意识</w:t>
            </w:r>
          </w:p>
        </w:tc>
        <w:tc>
          <w:tcPr>
            <w:tcW w:w="2551" w:type="dxa"/>
            <w:vAlign w:val="center"/>
          </w:tcPr>
          <w:p>
            <w:pPr>
              <w:pStyle w:val="19"/>
            </w:pPr>
            <w:r>
              <w:t>提高</w:t>
            </w:r>
          </w:p>
        </w:tc>
        <w:tc>
          <w:tcPr>
            <w:tcW w:w="2268" w:type="dxa"/>
            <w:vAlign w:val="center"/>
          </w:tcPr>
          <w:p>
            <w:pPr>
              <w:pStyle w:val="19"/>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可持续影响指标</w:t>
            </w:r>
          </w:p>
        </w:tc>
        <w:tc>
          <w:tcPr>
            <w:tcW w:w="2835" w:type="dxa"/>
            <w:vAlign w:val="center"/>
          </w:tcPr>
          <w:p>
            <w:pPr>
              <w:pStyle w:val="19"/>
            </w:pPr>
            <w:r>
              <w:t>使用年限</w:t>
            </w:r>
          </w:p>
        </w:tc>
        <w:tc>
          <w:tcPr>
            <w:tcW w:w="2835" w:type="dxa"/>
            <w:vAlign w:val="center"/>
          </w:tcPr>
          <w:p>
            <w:pPr>
              <w:pStyle w:val="19"/>
            </w:pPr>
            <w:r>
              <w:t>采购物品使用年限</w:t>
            </w:r>
          </w:p>
        </w:tc>
        <w:tc>
          <w:tcPr>
            <w:tcW w:w="2551" w:type="dxa"/>
            <w:vAlign w:val="center"/>
          </w:tcPr>
          <w:p>
            <w:pPr>
              <w:pStyle w:val="19"/>
            </w:pPr>
            <w:r>
              <w:t>≥1年</w:t>
            </w:r>
          </w:p>
        </w:tc>
        <w:tc>
          <w:tcPr>
            <w:tcW w:w="2268" w:type="dxa"/>
            <w:vAlign w:val="center"/>
          </w:tcPr>
          <w:p>
            <w:pPr>
              <w:pStyle w:val="19"/>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群众的综合满意度</w:t>
            </w:r>
          </w:p>
        </w:tc>
        <w:tc>
          <w:tcPr>
            <w:tcW w:w="2835" w:type="dxa"/>
            <w:vAlign w:val="center"/>
          </w:tcPr>
          <w:p>
            <w:pPr>
              <w:pStyle w:val="19"/>
            </w:pPr>
            <w:r>
              <w:t>群众对交通秩序的满意度</w:t>
            </w:r>
          </w:p>
        </w:tc>
        <w:tc>
          <w:tcPr>
            <w:tcW w:w="2551" w:type="dxa"/>
            <w:vAlign w:val="center"/>
          </w:tcPr>
          <w:p>
            <w:pPr>
              <w:pStyle w:val="19"/>
            </w:pPr>
            <w:r>
              <w:t>≥90%</w:t>
            </w:r>
          </w:p>
        </w:tc>
        <w:tc>
          <w:tcPr>
            <w:tcW w:w="2268" w:type="dxa"/>
            <w:vAlign w:val="center"/>
          </w:tcPr>
          <w:p>
            <w:pPr>
              <w:pStyle w:val="19"/>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13、现代评剧《焦裕禄》巡演活动经费绩效目标表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1.将现代评剧《焦裕禄》作为全县党史学习教育学习的重要内容，激励广大党员干部以焦裕禄同志为榜样，学习和弘扬“亲民爱民、艰苦奋斗、科学求实、迎难而上、无私奉献”的焦裕禄精神</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组织参观人数</w:t>
            </w:r>
          </w:p>
        </w:tc>
        <w:tc>
          <w:tcPr>
            <w:tcW w:w="2835" w:type="dxa"/>
            <w:vAlign w:val="center"/>
          </w:tcPr>
          <w:p>
            <w:pPr>
              <w:pStyle w:val="19"/>
            </w:pPr>
            <w:r>
              <w:t>组织参观人数</w:t>
            </w:r>
          </w:p>
        </w:tc>
        <w:tc>
          <w:tcPr>
            <w:tcW w:w="2551" w:type="dxa"/>
            <w:vAlign w:val="center"/>
          </w:tcPr>
          <w:p>
            <w:pPr>
              <w:pStyle w:val="19"/>
            </w:pPr>
            <w:r>
              <w:t>≥350人</w:t>
            </w:r>
          </w:p>
        </w:tc>
        <w:tc>
          <w:tcPr>
            <w:tcW w:w="2268" w:type="dxa"/>
            <w:vAlign w:val="center"/>
          </w:tcPr>
          <w:p>
            <w:pPr>
              <w:pStyle w:val="19"/>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宣传活动开展及时性</w:t>
            </w:r>
          </w:p>
        </w:tc>
        <w:tc>
          <w:tcPr>
            <w:tcW w:w="2835" w:type="dxa"/>
            <w:vAlign w:val="center"/>
          </w:tcPr>
          <w:p>
            <w:pPr>
              <w:pStyle w:val="19"/>
            </w:pPr>
            <w:r>
              <w:t>演出完成情况</w:t>
            </w:r>
          </w:p>
        </w:tc>
        <w:tc>
          <w:tcPr>
            <w:tcW w:w="2551" w:type="dxa"/>
            <w:vAlign w:val="center"/>
          </w:tcPr>
          <w:p>
            <w:pPr>
              <w:pStyle w:val="19"/>
            </w:pPr>
            <w:r>
              <w:t>100%</w:t>
            </w:r>
          </w:p>
        </w:tc>
        <w:tc>
          <w:tcPr>
            <w:tcW w:w="2268" w:type="dxa"/>
            <w:vAlign w:val="center"/>
          </w:tcPr>
          <w:p>
            <w:pPr>
              <w:pStyle w:val="19"/>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宣传活动开展及时性</w:t>
            </w:r>
          </w:p>
        </w:tc>
        <w:tc>
          <w:tcPr>
            <w:tcW w:w="2835" w:type="dxa"/>
            <w:vAlign w:val="center"/>
          </w:tcPr>
          <w:p>
            <w:pPr>
              <w:pStyle w:val="19"/>
            </w:pPr>
            <w:r>
              <w:t>按特定时间节点组织文艺活动</w:t>
            </w:r>
          </w:p>
        </w:tc>
        <w:tc>
          <w:tcPr>
            <w:tcW w:w="2551" w:type="dxa"/>
            <w:vAlign w:val="center"/>
          </w:tcPr>
          <w:p>
            <w:pPr>
              <w:pStyle w:val="19"/>
            </w:pPr>
            <w:r>
              <w:t>1天</w:t>
            </w:r>
          </w:p>
        </w:tc>
        <w:tc>
          <w:tcPr>
            <w:tcW w:w="2268" w:type="dxa"/>
            <w:vAlign w:val="center"/>
          </w:tcPr>
          <w:p>
            <w:pPr>
              <w:pStyle w:val="19"/>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预算控制数</w:t>
            </w:r>
          </w:p>
        </w:tc>
        <w:tc>
          <w:tcPr>
            <w:tcW w:w="2835" w:type="dxa"/>
            <w:vAlign w:val="center"/>
          </w:tcPr>
          <w:p>
            <w:pPr>
              <w:pStyle w:val="19"/>
            </w:pPr>
            <w:r>
              <w:t>项目成本在预算金额内</w:t>
            </w:r>
          </w:p>
        </w:tc>
        <w:tc>
          <w:tcPr>
            <w:tcW w:w="2551" w:type="dxa"/>
            <w:vAlign w:val="center"/>
          </w:tcPr>
          <w:p>
            <w:pPr>
              <w:pStyle w:val="19"/>
            </w:pPr>
            <w:r>
              <w:t>≤15万元/场</w:t>
            </w:r>
          </w:p>
        </w:tc>
        <w:tc>
          <w:tcPr>
            <w:tcW w:w="2268" w:type="dxa"/>
            <w:vAlign w:val="center"/>
          </w:tcPr>
          <w:p>
            <w:pPr>
              <w:pStyle w:val="19"/>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效益指标</w:t>
            </w:r>
          </w:p>
        </w:tc>
        <w:tc>
          <w:tcPr>
            <w:tcW w:w="2268" w:type="dxa"/>
            <w:vAlign w:val="center"/>
          </w:tcPr>
          <w:p>
            <w:pPr>
              <w:pStyle w:val="19"/>
            </w:pPr>
            <w:r>
              <w:t>社会效益指标</w:t>
            </w:r>
          </w:p>
        </w:tc>
        <w:tc>
          <w:tcPr>
            <w:tcW w:w="2835" w:type="dxa"/>
            <w:vAlign w:val="center"/>
          </w:tcPr>
          <w:p>
            <w:pPr>
              <w:pStyle w:val="19"/>
            </w:pPr>
            <w:r>
              <w:t>学习弘扬焦裕禄精神</w:t>
            </w:r>
          </w:p>
        </w:tc>
        <w:tc>
          <w:tcPr>
            <w:tcW w:w="2835" w:type="dxa"/>
            <w:vAlign w:val="center"/>
          </w:tcPr>
          <w:p>
            <w:pPr>
              <w:pStyle w:val="19"/>
            </w:pPr>
            <w:r>
              <w:t>群众服务能力稳步提升</w:t>
            </w:r>
          </w:p>
        </w:tc>
        <w:tc>
          <w:tcPr>
            <w:tcW w:w="2551" w:type="dxa"/>
            <w:vAlign w:val="center"/>
          </w:tcPr>
          <w:p>
            <w:pPr>
              <w:pStyle w:val="19"/>
            </w:pPr>
            <w:r>
              <w:t>提升</w:t>
            </w:r>
          </w:p>
        </w:tc>
        <w:tc>
          <w:tcPr>
            <w:tcW w:w="2268" w:type="dxa"/>
            <w:vAlign w:val="center"/>
          </w:tcPr>
          <w:p>
            <w:pPr>
              <w:pStyle w:val="19"/>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可持续影响指标</w:t>
            </w:r>
          </w:p>
        </w:tc>
        <w:tc>
          <w:tcPr>
            <w:tcW w:w="2835" w:type="dxa"/>
            <w:vAlign w:val="center"/>
          </w:tcPr>
          <w:p>
            <w:pPr>
              <w:pStyle w:val="19"/>
            </w:pPr>
            <w:r>
              <w:t>扎实推进“我为群众办实事”实践活动</w:t>
            </w:r>
          </w:p>
        </w:tc>
        <w:tc>
          <w:tcPr>
            <w:tcW w:w="2835" w:type="dxa"/>
            <w:vAlign w:val="center"/>
          </w:tcPr>
          <w:p>
            <w:pPr>
              <w:pStyle w:val="19"/>
            </w:pPr>
            <w:r>
              <w:t>工作稳步提升</w:t>
            </w:r>
          </w:p>
        </w:tc>
        <w:tc>
          <w:tcPr>
            <w:tcW w:w="2551" w:type="dxa"/>
            <w:vAlign w:val="center"/>
          </w:tcPr>
          <w:p>
            <w:pPr>
              <w:pStyle w:val="19"/>
            </w:pPr>
            <w:r>
              <w:t>提升</w:t>
            </w:r>
          </w:p>
        </w:tc>
        <w:tc>
          <w:tcPr>
            <w:tcW w:w="2268" w:type="dxa"/>
            <w:vAlign w:val="center"/>
          </w:tcPr>
          <w:p>
            <w:pPr>
              <w:pStyle w:val="19"/>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党员干部职工对文艺活动的综合满意度</w:t>
            </w:r>
          </w:p>
        </w:tc>
        <w:tc>
          <w:tcPr>
            <w:tcW w:w="2835" w:type="dxa"/>
            <w:vAlign w:val="center"/>
          </w:tcPr>
          <w:p>
            <w:pPr>
              <w:pStyle w:val="19"/>
            </w:pPr>
            <w:r>
              <w:t>党员干部职工对文艺活动的综合满意度</w:t>
            </w:r>
          </w:p>
        </w:tc>
        <w:tc>
          <w:tcPr>
            <w:tcW w:w="2551" w:type="dxa"/>
            <w:vAlign w:val="center"/>
          </w:tcPr>
          <w:p>
            <w:pPr>
              <w:pStyle w:val="19"/>
            </w:pPr>
            <w:r>
              <w:t>≥90%</w:t>
            </w:r>
          </w:p>
        </w:tc>
        <w:tc>
          <w:tcPr>
            <w:tcW w:w="2268" w:type="dxa"/>
            <w:vAlign w:val="center"/>
          </w:tcPr>
          <w:p>
            <w:pPr>
              <w:pStyle w:val="19"/>
            </w:pPr>
            <w:r>
              <w:t>活动走访调查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14、新时代文明实践中心工作经费绩效目标表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1.通过学习实践科学理论、宣传宣讲党的政策、培育践行主流价值、丰富活跃文化生活</w:t>
            </w:r>
          </w:p>
          <w:p>
            <w:pPr>
              <w:pStyle w:val="19"/>
            </w:pPr>
            <w:r>
              <w:t>2.用中国特色社会主义文化、社会主义思想道德牢牢占领农村思想文化阵地，更广泛、更有效地动员和激励自治县各族群众积极投身创新发展、绿色发展、高质量发展</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组织活动次数</w:t>
            </w:r>
          </w:p>
        </w:tc>
        <w:tc>
          <w:tcPr>
            <w:tcW w:w="2835" w:type="dxa"/>
            <w:vAlign w:val="center"/>
          </w:tcPr>
          <w:p>
            <w:pPr>
              <w:pStyle w:val="19"/>
            </w:pPr>
            <w:r>
              <w:t>开展新时代文明实践志愿活动次数</w:t>
            </w:r>
          </w:p>
        </w:tc>
        <w:tc>
          <w:tcPr>
            <w:tcW w:w="2551" w:type="dxa"/>
            <w:vAlign w:val="center"/>
          </w:tcPr>
          <w:p>
            <w:pPr>
              <w:pStyle w:val="19"/>
            </w:pPr>
            <w:r>
              <w:t>≥3次</w:t>
            </w:r>
          </w:p>
        </w:tc>
        <w:tc>
          <w:tcPr>
            <w:tcW w:w="2268" w:type="dxa"/>
            <w:vAlign w:val="center"/>
          </w:tcPr>
          <w:p>
            <w:pPr>
              <w:pStyle w:val="19"/>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活动覆盖率</w:t>
            </w:r>
          </w:p>
        </w:tc>
        <w:tc>
          <w:tcPr>
            <w:tcW w:w="2835" w:type="dxa"/>
            <w:vAlign w:val="center"/>
          </w:tcPr>
          <w:p>
            <w:pPr>
              <w:pStyle w:val="19"/>
            </w:pPr>
            <w:r>
              <w:t>组织新时代文明实践活动覆盖率</w:t>
            </w:r>
          </w:p>
        </w:tc>
        <w:tc>
          <w:tcPr>
            <w:tcW w:w="2551" w:type="dxa"/>
            <w:vAlign w:val="center"/>
          </w:tcPr>
          <w:p>
            <w:pPr>
              <w:pStyle w:val="19"/>
            </w:pPr>
            <w:r>
              <w:t>≥90%</w:t>
            </w:r>
          </w:p>
        </w:tc>
        <w:tc>
          <w:tcPr>
            <w:tcW w:w="2268" w:type="dxa"/>
            <w:vAlign w:val="center"/>
          </w:tcPr>
          <w:p>
            <w:pPr>
              <w:pStyle w:val="19"/>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活动完成及时性</w:t>
            </w:r>
          </w:p>
        </w:tc>
        <w:tc>
          <w:tcPr>
            <w:tcW w:w="2835" w:type="dxa"/>
            <w:vAlign w:val="center"/>
          </w:tcPr>
          <w:p>
            <w:pPr>
              <w:pStyle w:val="19"/>
            </w:pPr>
            <w:r>
              <w:t>项目完成时间</w:t>
            </w:r>
          </w:p>
        </w:tc>
        <w:tc>
          <w:tcPr>
            <w:tcW w:w="2551" w:type="dxa"/>
            <w:vAlign w:val="center"/>
          </w:tcPr>
          <w:p>
            <w:pPr>
              <w:pStyle w:val="19"/>
            </w:pPr>
            <w:r>
              <w:t>1年</w:t>
            </w:r>
          </w:p>
        </w:tc>
        <w:tc>
          <w:tcPr>
            <w:tcW w:w="2268" w:type="dxa"/>
            <w:vAlign w:val="center"/>
          </w:tcPr>
          <w:p>
            <w:pPr>
              <w:pStyle w:val="19"/>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预算控制成本</w:t>
            </w:r>
          </w:p>
        </w:tc>
        <w:tc>
          <w:tcPr>
            <w:tcW w:w="2835" w:type="dxa"/>
            <w:vAlign w:val="center"/>
          </w:tcPr>
          <w:p>
            <w:pPr>
              <w:pStyle w:val="19"/>
            </w:pPr>
            <w:r>
              <w:t>预算控制成本不超过预算资金</w:t>
            </w:r>
          </w:p>
        </w:tc>
        <w:tc>
          <w:tcPr>
            <w:tcW w:w="2551" w:type="dxa"/>
            <w:vAlign w:val="center"/>
          </w:tcPr>
          <w:p>
            <w:pPr>
              <w:pStyle w:val="19"/>
            </w:pPr>
            <w:r>
              <w:t>≤100万元</w:t>
            </w:r>
          </w:p>
        </w:tc>
        <w:tc>
          <w:tcPr>
            <w:tcW w:w="2268" w:type="dxa"/>
            <w:vAlign w:val="center"/>
          </w:tcPr>
          <w:p>
            <w:pPr>
              <w:pStyle w:val="19"/>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效益指标</w:t>
            </w:r>
          </w:p>
        </w:tc>
        <w:tc>
          <w:tcPr>
            <w:tcW w:w="2268" w:type="dxa"/>
            <w:vAlign w:val="center"/>
          </w:tcPr>
          <w:p>
            <w:pPr>
              <w:pStyle w:val="19"/>
            </w:pPr>
            <w:r>
              <w:t>社会效益指标</w:t>
            </w:r>
          </w:p>
        </w:tc>
        <w:tc>
          <w:tcPr>
            <w:tcW w:w="2835" w:type="dxa"/>
            <w:vAlign w:val="center"/>
          </w:tcPr>
          <w:p>
            <w:pPr>
              <w:pStyle w:val="19"/>
            </w:pPr>
            <w:r>
              <w:t>宣传志愿服务典型</w:t>
            </w:r>
          </w:p>
        </w:tc>
        <w:tc>
          <w:tcPr>
            <w:tcW w:w="2835" w:type="dxa"/>
            <w:vAlign w:val="center"/>
          </w:tcPr>
          <w:p>
            <w:pPr>
              <w:pStyle w:val="19"/>
            </w:pPr>
            <w:r>
              <w:t>宣传志愿服务典型</w:t>
            </w:r>
          </w:p>
        </w:tc>
        <w:tc>
          <w:tcPr>
            <w:tcW w:w="2551" w:type="dxa"/>
            <w:vAlign w:val="center"/>
          </w:tcPr>
          <w:p>
            <w:pPr>
              <w:pStyle w:val="19"/>
            </w:pPr>
            <w:r>
              <w:t>提升</w:t>
            </w:r>
          </w:p>
        </w:tc>
        <w:tc>
          <w:tcPr>
            <w:tcW w:w="2268" w:type="dxa"/>
            <w:vAlign w:val="center"/>
          </w:tcPr>
          <w:p>
            <w:pPr>
              <w:pStyle w:val="19"/>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可持续影响指标</w:t>
            </w:r>
          </w:p>
        </w:tc>
        <w:tc>
          <w:tcPr>
            <w:tcW w:w="2835" w:type="dxa"/>
            <w:vAlign w:val="center"/>
          </w:tcPr>
          <w:p>
            <w:pPr>
              <w:pStyle w:val="19"/>
            </w:pPr>
            <w:r>
              <w:t>进一步提高城乡群众文明素质，丰富城乡群众精神文化生活</w:t>
            </w:r>
          </w:p>
        </w:tc>
        <w:tc>
          <w:tcPr>
            <w:tcW w:w="2835" w:type="dxa"/>
            <w:vAlign w:val="center"/>
          </w:tcPr>
          <w:p>
            <w:pPr>
              <w:pStyle w:val="19"/>
            </w:pPr>
            <w:r>
              <w:t>进一步提高城乡群众文明素质，丰富城乡群众精神文化生活</w:t>
            </w:r>
          </w:p>
        </w:tc>
        <w:tc>
          <w:tcPr>
            <w:tcW w:w="2551" w:type="dxa"/>
            <w:vAlign w:val="center"/>
          </w:tcPr>
          <w:p>
            <w:pPr>
              <w:pStyle w:val="19"/>
            </w:pPr>
            <w:r>
              <w:t>提升</w:t>
            </w:r>
          </w:p>
        </w:tc>
        <w:tc>
          <w:tcPr>
            <w:tcW w:w="2268" w:type="dxa"/>
            <w:vAlign w:val="center"/>
          </w:tcPr>
          <w:p>
            <w:pPr>
              <w:pStyle w:val="19"/>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服务对象满意度</w:t>
            </w:r>
          </w:p>
        </w:tc>
        <w:tc>
          <w:tcPr>
            <w:tcW w:w="2835" w:type="dxa"/>
            <w:vAlign w:val="center"/>
          </w:tcPr>
          <w:p>
            <w:pPr>
              <w:pStyle w:val="19"/>
            </w:pPr>
            <w:r>
              <w:t>城乡群众对我县新时代文明实践建设的满意度</w:t>
            </w:r>
          </w:p>
        </w:tc>
        <w:tc>
          <w:tcPr>
            <w:tcW w:w="2551" w:type="dxa"/>
            <w:vAlign w:val="center"/>
          </w:tcPr>
          <w:p>
            <w:pPr>
              <w:pStyle w:val="19"/>
            </w:pPr>
            <w:r>
              <w:t>≥90%</w:t>
            </w:r>
          </w:p>
        </w:tc>
        <w:tc>
          <w:tcPr>
            <w:tcW w:w="2268" w:type="dxa"/>
            <w:vAlign w:val="center"/>
          </w:tcPr>
          <w:p>
            <w:pPr>
              <w:pStyle w:val="19"/>
            </w:pPr>
            <w:r>
              <w:t>走访调查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15、宣传党的二十大精神工作经费绩效目标表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1.通过项目的开展实现用党的二十大精神武装头脑、指导实践、推动工作，为建设北京城市副中心后花园凝聚思想共识，汇聚发展合力</w:t>
            </w:r>
            <w:r>
              <w:tab/>
            </w:r>
            <w:r>
              <w:tab/>
            </w:r>
            <w:r>
              <w:tab/>
            </w:r>
            <w:r>
              <w:tab/>
            </w:r>
            <w:r>
              <w:tab/>
            </w:r>
            <w:r>
              <w:tab/>
            </w:r>
          </w:p>
          <w:p>
            <w:pPr>
              <w:pStyle w:val="19"/>
            </w:pPr>
            <w:r>
              <w:tab/>
            </w:r>
            <w:r>
              <w:tab/>
            </w:r>
            <w:r>
              <w:tab/>
            </w:r>
            <w:r>
              <w:tab/>
            </w:r>
            <w:r>
              <w:tab/>
            </w:r>
            <w:r>
              <w:tab/>
            </w:r>
          </w:p>
          <w:p>
            <w:pPr>
              <w:pStyle w:val="19"/>
            </w:pPr>
          </w:p>
          <w:p>
            <w:pPr>
              <w:pStyle w:val="19"/>
            </w:pPr>
            <w:r>
              <w:t>2.用党的二十大精神武装头脑，教育引导广大党员干部用党的最新理论成果指导工作，推动发展</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组织会议场次</w:t>
            </w:r>
          </w:p>
        </w:tc>
        <w:tc>
          <w:tcPr>
            <w:tcW w:w="2835" w:type="dxa"/>
            <w:vAlign w:val="center"/>
          </w:tcPr>
          <w:p>
            <w:pPr>
              <w:pStyle w:val="19"/>
            </w:pPr>
            <w:r>
              <w:t>组织理论学习相关会议场次</w:t>
            </w:r>
          </w:p>
        </w:tc>
        <w:tc>
          <w:tcPr>
            <w:tcW w:w="2551" w:type="dxa"/>
            <w:vAlign w:val="center"/>
          </w:tcPr>
          <w:p>
            <w:pPr>
              <w:pStyle w:val="19"/>
            </w:pPr>
            <w:r>
              <w:t>≥12次</w:t>
            </w:r>
          </w:p>
        </w:tc>
        <w:tc>
          <w:tcPr>
            <w:tcW w:w="2268" w:type="dxa"/>
            <w:vAlign w:val="center"/>
          </w:tcPr>
          <w:p>
            <w:pPr>
              <w:pStyle w:val="19"/>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宣传资料发放率</w:t>
            </w:r>
          </w:p>
        </w:tc>
        <w:tc>
          <w:tcPr>
            <w:tcW w:w="2835" w:type="dxa"/>
            <w:vAlign w:val="center"/>
          </w:tcPr>
          <w:p>
            <w:pPr>
              <w:pStyle w:val="19"/>
            </w:pPr>
            <w:r>
              <w:t>宣传资料发放情况</w:t>
            </w:r>
          </w:p>
        </w:tc>
        <w:tc>
          <w:tcPr>
            <w:tcW w:w="2551" w:type="dxa"/>
            <w:vAlign w:val="center"/>
          </w:tcPr>
          <w:p>
            <w:pPr>
              <w:pStyle w:val="19"/>
            </w:pPr>
            <w:r>
              <w:t>≥90%</w:t>
            </w:r>
          </w:p>
        </w:tc>
        <w:tc>
          <w:tcPr>
            <w:tcW w:w="2268" w:type="dxa"/>
            <w:vAlign w:val="center"/>
          </w:tcPr>
          <w:p>
            <w:pPr>
              <w:pStyle w:val="19"/>
            </w:pPr>
            <w:r>
              <w:t>往年数据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工作完成及时性</w:t>
            </w:r>
          </w:p>
        </w:tc>
        <w:tc>
          <w:tcPr>
            <w:tcW w:w="2835" w:type="dxa"/>
            <w:vAlign w:val="center"/>
          </w:tcPr>
          <w:p>
            <w:pPr>
              <w:pStyle w:val="19"/>
            </w:pPr>
            <w:r>
              <w:t>项目完成时间</w:t>
            </w:r>
          </w:p>
        </w:tc>
        <w:tc>
          <w:tcPr>
            <w:tcW w:w="2551" w:type="dxa"/>
            <w:vAlign w:val="center"/>
          </w:tcPr>
          <w:p>
            <w:pPr>
              <w:pStyle w:val="19"/>
            </w:pPr>
            <w:r>
              <w:t>1年</w:t>
            </w:r>
          </w:p>
        </w:tc>
        <w:tc>
          <w:tcPr>
            <w:tcW w:w="2268" w:type="dxa"/>
            <w:vAlign w:val="center"/>
          </w:tcPr>
          <w:p>
            <w:pPr>
              <w:pStyle w:val="19"/>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印刷成本</w:t>
            </w:r>
          </w:p>
        </w:tc>
        <w:tc>
          <w:tcPr>
            <w:tcW w:w="2835" w:type="dxa"/>
            <w:vAlign w:val="center"/>
          </w:tcPr>
          <w:p>
            <w:pPr>
              <w:pStyle w:val="19"/>
            </w:pPr>
            <w:r>
              <w:t>印刷资料成本情况</w:t>
            </w:r>
          </w:p>
        </w:tc>
        <w:tc>
          <w:tcPr>
            <w:tcW w:w="2551" w:type="dxa"/>
            <w:vAlign w:val="center"/>
          </w:tcPr>
          <w:p>
            <w:pPr>
              <w:pStyle w:val="19"/>
            </w:pPr>
            <w:r>
              <w:t>≤10万元</w:t>
            </w:r>
          </w:p>
        </w:tc>
        <w:tc>
          <w:tcPr>
            <w:tcW w:w="2268" w:type="dxa"/>
            <w:vAlign w:val="center"/>
          </w:tcPr>
          <w:p>
            <w:pPr>
              <w:pStyle w:val="19"/>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效益指标</w:t>
            </w:r>
          </w:p>
        </w:tc>
        <w:tc>
          <w:tcPr>
            <w:tcW w:w="2268" w:type="dxa"/>
            <w:vAlign w:val="center"/>
          </w:tcPr>
          <w:p>
            <w:pPr>
              <w:pStyle w:val="19"/>
            </w:pPr>
            <w:r>
              <w:t>社会效益指标</w:t>
            </w:r>
          </w:p>
        </w:tc>
        <w:tc>
          <w:tcPr>
            <w:tcW w:w="2835" w:type="dxa"/>
            <w:vAlign w:val="center"/>
          </w:tcPr>
          <w:p>
            <w:pPr>
              <w:pStyle w:val="19"/>
            </w:pPr>
            <w:r>
              <w:t>提升理论学习成果</w:t>
            </w:r>
          </w:p>
        </w:tc>
        <w:tc>
          <w:tcPr>
            <w:tcW w:w="2835" w:type="dxa"/>
            <w:vAlign w:val="center"/>
          </w:tcPr>
          <w:p>
            <w:pPr>
              <w:pStyle w:val="19"/>
            </w:pPr>
            <w:r>
              <w:t>参会人员理论学习成果情况</w:t>
            </w:r>
          </w:p>
        </w:tc>
        <w:tc>
          <w:tcPr>
            <w:tcW w:w="2551" w:type="dxa"/>
            <w:vAlign w:val="center"/>
          </w:tcPr>
          <w:p>
            <w:pPr>
              <w:pStyle w:val="19"/>
            </w:pPr>
            <w:r>
              <w:t>提升</w:t>
            </w:r>
          </w:p>
        </w:tc>
        <w:tc>
          <w:tcPr>
            <w:tcW w:w="2268" w:type="dxa"/>
            <w:vAlign w:val="center"/>
          </w:tcPr>
          <w:p>
            <w:pPr>
              <w:pStyle w:val="19"/>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可持续影响指标</w:t>
            </w:r>
          </w:p>
        </w:tc>
        <w:tc>
          <w:tcPr>
            <w:tcW w:w="2835" w:type="dxa"/>
            <w:vAlign w:val="center"/>
          </w:tcPr>
          <w:p>
            <w:pPr>
              <w:pStyle w:val="19"/>
            </w:pPr>
            <w:r>
              <w:t>指导实践</w:t>
            </w:r>
          </w:p>
        </w:tc>
        <w:tc>
          <w:tcPr>
            <w:tcW w:w="2835" w:type="dxa"/>
            <w:vAlign w:val="center"/>
          </w:tcPr>
          <w:p>
            <w:pPr>
              <w:pStyle w:val="19"/>
            </w:pPr>
            <w:r>
              <w:t>推动工作执行</w:t>
            </w:r>
          </w:p>
        </w:tc>
        <w:tc>
          <w:tcPr>
            <w:tcW w:w="2551" w:type="dxa"/>
            <w:vAlign w:val="center"/>
          </w:tcPr>
          <w:p>
            <w:pPr>
              <w:pStyle w:val="19"/>
            </w:pPr>
            <w:r>
              <w:t>提升</w:t>
            </w:r>
          </w:p>
        </w:tc>
        <w:tc>
          <w:tcPr>
            <w:tcW w:w="2268" w:type="dxa"/>
            <w:vAlign w:val="center"/>
          </w:tcPr>
          <w:p>
            <w:pPr>
              <w:pStyle w:val="19"/>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服务对象满意度</w:t>
            </w:r>
          </w:p>
        </w:tc>
        <w:tc>
          <w:tcPr>
            <w:tcW w:w="2835" w:type="dxa"/>
            <w:vAlign w:val="center"/>
          </w:tcPr>
          <w:p>
            <w:pPr>
              <w:pStyle w:val="19"/>
            </w:pPr>
            <w:r>
              <w:t>服务对象满意度</w:t>
            </w:r>
          </w:p>
        </w:tc>
        <w:tc>
          <w:tcPr>
            <w:tcW w:w="2551" w:type="dxa"/>
            <w:vAlign w:val="center"/>
          </w:tcPr>
          <w:p>
            <w:pPr>
              <w:pStyle w:val="19"/>
            </w:pPr>
            <w:r>
              <w:t>≥90%</w:t>
            </w:r>
          </w:p>
        </w:tc>
        <w:tc>
          <w:tcPr>
            <w:tcW w:w="2268" w:type="dxa"/>
            <w:vAlign w:val="center"/>
          </w:tcPr>
          <w:p>
            <w:pPr>
              <w:pStyle w:val="19"/>
            </w:pPr>
            <w:r>
              <w:t>走访调查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16、政府机关计算机正版软件安装升级、使用场地授权经费绩效目标表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1.在全县政府机关安装升级计算机正版软件及场地授权</w:t>
            </w:r>
          </w:p>
          <w:p>
            <w:pPr>
              <w:pStyle w:val="19"/>
            </w:pPr>
            <w:r>
              <w:t>2.保障全县政府机关使用计算机安全性</w:t>
            </w:r>
          </w:p>
          <w:p>
            <w:pPr>
              <w:pStyle w:val="19"/>
            </w:pPr>
            <w:r>
              <w:t>3.加大正版软件使用率</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软件购买数量</w:t>
            </w:r>
          </w:p>
        </w:tc>
        <w:tc>
          <w:tcPr>
            <w:tcW w:w="2835" w:type="dxa"/>
            <w:vAlign w:val="center"/>
          </w:tcPr>
          <w:p>
            <w:pPr>
              <w:pStyle w:val="19"/>
            </w:pPr>
            <w:r>
              <w:t>软件购买数量情况</w:t>
            </w:r>
          </w:p>
        </w:tc>
        <w:tc>
          <w:tcPr>
            <w:tcW w:w="2551" w:type="dxa"/>
            <w:vAlign w:val="center"/>
          </w:tcPr>
          <w:p>
            <w:pPr>
              <w:pStyle w:val="19"/>
            </w:pPr>
            <w:r>
              <w:t>≥2000台</w:t>
            </w:r>
          </w:p>
        </w:tc>
        <w:tc>
          <w:tcPr>
            <w:tcW w:w="2268" w:type="dxa"/>
            <w:vAlign w:val="center"/>
          </w:tcPr>
          <w:p>
            <w:pPr>
              <w:pStyle w:val="19"/>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软件质量合格率</w:t>
            </w:r>
          </w:p>
        </w:tc>
        <w:tc>
          <w:tcPr>
            <w:tcW w:w="2835" w:type="dxa"/>
            <w:vAlign w:val="center"/>
          </w:tcPr>
          <w:p>
            <w:pPr>
              <w:pStyle w:val="19"/>
            </w:pPr>
            <w:r>
              <w:t>软件质量合格情况</w:t>
            </w:r>
          </w:p>
        </w:tc>
        <w:tc>
          <w:tcPr>
            <w:tcW w:w="2551" w:type="dxa"/>
            <w:vAlign w:val="center"/>
          </w:tcPr>
          <w:p>
            <w:pPr>
              <w:pStyle w:val="19"/>
            </w:pPr>
            <w:r>
              <w:t>100%</w:t>
            </w:r>
          </w:p>
        </w:tc>
        <w:tc>
          <w:tcPr>
            <w:tcW w:w="2268" w:type="dxa"/>
            <w:vAlign w:val="center"/>
          </w:tcPr>
          <w:p>
            <w:pPr>
              <w:pStyle w:val="19"/>
            </w:pPr>
            <w:r>
              <w:t>往年数据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软件采购安装及时性</w:t>
            </w:r>
          </w:p>
        </w:tc>
        <w:tc>
          <w:tcPr>
            <w:tcW w:w="2835" w:type="dxa"/>
            <w:vAlign w:val="center"/>
          </w:tcPr>
          <w:p>
            <w:pPr>
              <w:pStyle w:val="19"/>
            </w:pPr>
            <w:r>
              <w:t>软件安装采购时间</w:t>
            </w:r>
          </w:p>
        </w:tc>
        <w:tc>
          <w:tcPr>
            <w:tcW w:w="2551" w:type="dxa"/>
            <w:vAlign w:val="center"/>
          </w:tcPr>
          <w:p>
            <w:pPr>
              <w:pStyle w:val="19"/>
            </w:pPr>
            <w:r>
              <w:t>1年</w:t>
            </w:r>
          </w:p>
        </w:tc>
        <w:tc>
          <w:tcPr>
            <w:tcW w:w="2268" w:type="dxa"/>
            <w:vAlign w:val="center"/>
          </w:tcPr>
          <w:p>
            <w:pPr>
              <w:pStyle w:val="19"/>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预算控制数</w:t>
            </w:r>
          </w:p>
        </w:tc>
        <w:tc>
          <w:tcPr>
            <w:tcW w:w="2835" w:type="dxa"/>
            <w:vAlign w:val="center"/>
          </w:tcPr>
          <w:p>
            <w:pPr>
              <w:pStyle w:val="19"/>
            </w:pPr>
            <w:r>
              <w:t>项目支出不超预算资金</w:t>
            </w:r>
          </w:p>
        </w:tc>
        <w:tc>
          <w:tcPr>
            <w:tcW w:w="2551" w:type="dxa"/>
            <w:vAlign w:val="center"/>
          </w:tcPr>
          <w:p>
            <w:pPr>
              <w:pStyle w:val="19"/>
            </w:pPr>
            <w:r>
              <w:t>≤30万元</w:t>
            </w:r>
          </w:p>
        </w:tc>
        <w:tc>
          <w:tcPr>
            <w:tcW w:w="2268" w:type="dxa"/>
            <w:vAlign w:val="center"/>
          </w:tcPr>
          <w:p>
            <w:pPr>
              <w:pStyle w:val="19"/>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效益指标</w:t>
            </w:r>
          </w:p>
        </w:tc>
        <w:tc>
          <w:tcPr>
            <w:tcW w:w="2268" w:type="dxa"/>
            <w:vAlign w:val="center"/>
          </w:tcPr>
          <w:p>
            <w:pPr>
              <w:pStyle w:val="19"/>
            </w:pPr>
            <w:r>
              <w:t>社会效益指标</w:t>
            </w:r>
          </w:p>
        </w:tc>
        <w:tc>
          <w:tcPr>
            <w:tcW w:w="2835" w:type="dxa"/>
            <w:vAlign w:val="center"/>
          </w:tcPr>
          <w:p>
            <w:pPr>
              <w:pStyle w:val="19"/>
            </w:pPr>
            <w:r>
              <w:t>软件使用率</w:t>
            </w:r>
          </w:p>
        </w:tc>
        <w:tc>
          <w:tcPr>
            <w:tcW w:w="2835" w:type="dxa"/>
            <w:vAlign w:val="center"/>
          </w:tcPr>
          <w:p>
            <w:pPr>
              <w:pStyle w:val="19"/>
            </w:pPr>
            <w:r>
              <w:t>软件使用情况</w:t>
            </w:r>
          </w:p>
        </w:tc>
        <w:tc>
          <w:tcPr>
            <w:tcW w:w="2551" w:type="dxa"/>
            <w:vAlign w:val="center"/>
          </w:tcPr>
          <w:p>
            <w:pPr>
              <w:pStyle w:val="19"/>
            </w:pPr>
            <w:r>
              <w:t>100%</w:t>
            </w:r>
          </w:p>
        </w:tc>
        <w:tc>
          <w:tcPr>
            <w:tcW w:w="2268" w:type="dxa"/>
            <w:vAlign w:val="center"/>
          </w:tcPr>
          <w:p>
            <w:pPr>
              <w:pStyle w:val="19"/>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生态效益指标</w:t>
            </w:r>
          </w:p>
        </w:tc>
        <w:tc>
          <w:tcPr>
            <w:tcW w:w="2835" w:type="dxa"/>
            <w:vAlign w:val="center"/>
          </w:tcPr>
          <w:p>
            <w:pPr>
              <w:pStyle w:val="19"/>
            </w:pPr>
            <w:r>
              <w:t>软件安全率</w:t>
            </w:r>
          </w:p>
        </w:tc>
        <w:tc>
          <w:tcPr>
            <w:tcW w:w="2835" w:type="dxa"/>
            <w:vAlign w:val="center"/>
          </w:tcPr>
          <w:p>
            <w:pPr>
              <w:pStyle w:val="19"/>
            </w:pPr>
            <w:r>
              <w:t>软件安全性情况</w:t>
            </w:r>
          </w:p>
        </w:tc>
        <w:tc>
          <w:tcPr>
            <w:tcW w:w="2551" w:type="dxa"/>
            <w:vAlign w:val="center"/>
          </w:tcPr>
          <w:p>
            <w:pPr>
              <w:pStyle w:val="19"/>
            </w:pPr>
            <w:r>
              <w:t>≥90%</w:t>
            </w:r>
          </w:p>
        </w:tc>
        <w:tc>
          <w:tcPr>
            <w:tcW w:w="2268" w:type="dxa"/>
            <w:vAlign w:val="center"/>
          </w:tcPr>
          <w:p>
            <w:pPr>
              <w:pStyle w:val="19"/>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可持续影响指标</w:t>
            </w:r>
          </w:p>
        </w:tc>
        <w:tc>
          <w:tcPr>
            <w:tcW w:w="2835" w:type="dxa"/>
            <w:vAlign w:val="center"/>
          </w:tcPr>
          <w:p>
            <w:pPr>
              <w:pStyle w:val="19"/>
            </w:pPr>
            <w:r>
              <w:t>加大正版软件使用率</w:t>
            </w:r>
          </w:p>
        </w:tc>
        <w:tc>
          <w:tcPr>
            <w:tcW w:w="2835" w:type="dxa"/>
            <w:vAlign w:val="center"/>
          </w:tcPr>
          <w:p>
            <w:pPr>
              <w:pStyle w:val="19"/>
            </w:pPr>
            <w:r>
              <w:t>加大正版软件使用率</w:t>
            </w:r>
          </w:p>
        </w:tc>
        <w:tc>
          <w:tcPr>
            <w:tcW w:w="2551" w:type="dxa"/>
            <w:vAlign w:val="center"/>
          </w:tcPr>
          <w:p>
            <w:pPr>
              <w:pStyle w:val="19"/>
            </w:pPr>
            <w:r>
              <w:t>≥90%</w:t>
            </w:r>
          </w:p>
        </w:tc>
        <w:tc>
          <w:tcPr>
            <w:tcW w:w="2268" w:type="dxa"/>
            <w:vAlign w:val="center"/>
          </w:tcPr>
          <w:p>
            <w:pPr>
              <w:pStyle w:val="19"/>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服务对象的综合满意度</w:t>
            </w:r>
          </w:p>
        </w:tc>
        <w:tc>
          <w:tcPr>
            <w:tcW w:w="2835" w:type="dxa"/>
            <w:vAlign w:val="center"/>
          </w:tcPr>
          <w:p>
            <w:pPr>
              <w:pStyle w:val="19"/>
            </w:pPr>
            <w:r>
              <w:t>机关工作人员对软件的综合满意度</w:t>
            </w:r>
          </w:p>
        </w:tc>
        <w:tc>
          <w:tcPr>
            <w:tcW w:w="2551" w:type="dxa"/>
            <w:vAlign w:val="center"/>
          </w:tcPr>
          <w:p>
            <w:pPr>
              <w:pStyle w:val="19"/>
            </w:pPr>
            <w:r>
              <w:t>≥90%</w:t>
            </w:r>
          </w:p>
        </w:tc>
        <w:tc>
          <w:tcPr>
            <w:tcW w:w="2268" w:type="dxa"/>
            <w:vAlign w:val="center"/>
          </w:tcPr>
          <w:p>
            <w:pPr>
              <w:pStyle w:val="19"/>
            </w:pPr>
            <w:r>
              <w:t>活动走访调查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17、关于提前下达2022年省级公共文化服务体系建设补助资金的通知-冀财教【2021】160号农村电影公益放映场次补贴绩效目标表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1.鼓励引导文化特色、艺术创新影片发行和放映</w:t>
            </w:r>
          </w:p>
          <w:p>
            <w:pPr>
              <w:pStyle w:val="19"/>
            </w:pPr>
            <w:r>
              <w:t>2.推动我县电影事业持续发展</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月度放映场次</w:t>
            </w:r>
          </w:p>
        </w:tc>
        <w:tc>
          <w:tcPr>
            <w:tcW w:w="2835" w:type="dxa"/>
            <w:vAlign w:val="center"/>
          </w:tcPr>
          <w:p>
            <w:pPr>
              <w:pStyle w:val="19"/>
            </w:pPr>
            <w:r>
              <w:t>每个行政村月度放映电影场次</w:t>
            </w:r>
          </w:p>
        </w:tc>
        <w:tc>
          <w:tcPr>
            <w:tcW w:w="2551" w:type="dxa"/>
            <w:vAlign w:val="center"/>
          </w:tcPr>
          <w:p>
            <w:pPr>
              <w:pStyle w:val="19"/>
            </w:pPr>
            <w:r>
              <w:t>≥1场</w:t>
            </w:r>
          </w:p>
        </w:tc>
        <w:tc>
          <w:tcPr>
            <w:tcW w:w="2268" w:type="dxa"/>
            <w:vAlign w:val="center"/>
          </w:tcPr>
          <w:p>
            <w:pPr>
              <w:pStyle w:val="19"/>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电影放映覆盖率</w:t>
            </w:r>
          </w:p>
        </w:tc>
        <w:tc>
          <w:tcPr>
            <w:tcW w:w="2835" w:type="dxa"/>
            <w:vAlign w:val="center"/>
          </w:tcPr>
          <w:p>
            <w:pPr>
              <w:pStyle w:val="19"/>
            </w:pPr>
            <w:r>
              <w:t>全年行政村电影放映覆盖情况</w:t>
            </w:r>
          </w:p>
        </w:tc>
        <w:tc>
          <w:tcPr>
            <w:tcW w:w="2551" w:type="dxa"/>
            <w:vAlign w:val="center"/>
          </w:tcPr>
          <w:p>
            <w:pPr>
              <w:pStyle w:val="19"/>
            </w:pPr>
            <w:r>
              <w:t>100%</w:t>
            </w:r>
          </w:p>
        </w:tc>
        <w:tc>
          <w:tcPr>
            <w:tcW w:w="2268" w:type="dxa"/>
            <w:vAlign w:val="center"/>
          </w:tcPr>
          <w:p>
            <w:pPr>
              <w:pStyle w:val="19"/>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电影放映及时性完成时间</w:t>
            </w:r>
          </w:p>
        </w:tc>
        <w:tc>
          <w:tcPr>
            <w:tcW w:w="2835" w:type="dxa"/>
            <w:vAlign w:val="center"/>
          </w:tcPr>
          <w:p>
            <w:pPr>
              <w:pStyle w:val="19"/>
            </w:pPr>
            <w:r>
              <w:t>电影放映完成时间</w:t>
            </w:r>
          </w:p>
        </w:tc>
        <w:tc>
          <w:tcPr>
            <w:tcW w:w="2551" w:type="dxa"/>
            <w:vAlign w:val="center"/>
          </w:tcPr>
          <w:p>
            <w:pPr>
              <w:pStyle w:val="19"/>
            </w:pPr>
            <w:r>
              <w:t>及时</w:t>
            </w:r>
          </w:p>
        </w:tc>
        <w:tc>
          <w:tcPr>
            <w:tcW w:w="2268" w:type="dxa"/>
            <w:vAlign w:val="center"/>
          </w:tcPr>
          <w:p>
            <w:pPr>
              <w:pStyle w:val="19"/>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单场电影成本</w:t>
            </w:r>
          </w:p>
        </w:tc>
        <w:tc>
          <w:tcPr>
            <w:tcW w:w="2835" w:type="dxa"/>
            <w:vAlign w:val="center"/>
          </w:tcPr>
          <w:p>
            <w:pPr>
              <w:pStyle w:val="19"/>
            </w:pPr>
            <w:r>
              <w:t>中央、省、县场次补贴成本</w:t>
            </w:r>
          </w:p>
        </w:tc>
        <w:tc>
          <w:tcPr>
            <w:tcW w:w="2551" w:type="dxa"/>
            <w:vAlign w:val="center"/>
          </w:tcPr>
          <w:p>
            <w:pPr>
              <w:pStyle w:val="19"/>
            </w:pPr>
            <w:r>
              <w:t>200元/场</w:t>
            </w:r>
          </w:p>
        </w:tc>
        <w:tc>
          <w:tcPr>
            <w:tcW w:w="2268" w:type="dxa"/>
            <w:vAlign w:val="center"/>
          </w:tcPr>
          <w:p>
            <w:pPr>
              <w:pStyle w:val="19"/>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效益指标</w:t>
            </w:r>
          </w:p>
        </w:tc>
        <w:tc>
          <w:tcPr>
            <w:tcW w:w="2268" w:type="dxa"/>
            <w:vAlign w:val="center"/>
          </w:tcPr>
          <w:p>
            <w:pPr>
              <w:pStyle w:val="19"/>
            </w:pPr>
            <w:r>
              <w:t>社会效益指标</w:t>
            </w:r>
          </w:p>
        </w:tc>
        <w:tc>
          <w:tcPr>
            <w:tcW w:w="2835" w:type="dxa"/>
            <w:vAlign w:val="center"/>
          </w:tcPr>
          <w:p>
            <w:pPr>
              <w:pStyle w:val="19"/>
            </w:pPr>
            <w:r>
              <w:t>丰富群众业余生活</w:t>
            </w:r>
          </w:p>
        </w:tc>
        <w:tc>
          <w:tcPr>
            <w:tcW w:w="2835" w:type="dxa"/>
            <w:vAlign w:val="center"/>
          </w:tcPr>
          <w:p>
            <w:pPr>
              <w:pStyle w:val="19"/>
            </w:pPr>
            <w:r>
              <w:t>群众业余生活情况</w:t>
            </w:r>
          </w:p>
        </w:tc>
        <w:tc>
          <w:tcPr>
            <w:tcW w:w="2551" w:type="dxa"/>
            <w:vAlign w:val="center"/>
          </w:tcPr>
          <w:p>
            <w:pPr>
              <w:pStyle w:val="19"/>
            </w:pPr>
            <w:r>
              <w:t>100%</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可持续影响指标</w:t>
            </w:r>
          </w:p>
        </w:tc>
        <w:tc>
          <w:tcPr>
            <w:tcW w:w="2835" w:type="dxa"/>
            <w:vAlign w:val="center"/>
          </w:tcPr>
          <w:p>
            <w:pPr>
              <w:pStyle w:val="19"/>
            </w:pPr>
            <w:r>
              <w:t>电影事业发展</w:t>
            </w:r>
          </w:p>
        </w:tc>
        <w:tc>
          <w:tcPr>
            <w:tcW w:w="2835" w:type="dxa"/>
            <w:vAlign w:val="center"/>
          </w:tcPr>
          <w:p>
            <w:pPr>
              <w:pStyle w:val="19"/>
            </w:pPr>
            <w:r>
              <w:t>推动我县电影事业发展</w:t>
            </w:r>
          </w:p>
        </w:tc>
        <w:tc>
          <w:tcPr>
            <w:tcW w:w="2551" w:type="dxa"/>
            <w:vAlign w:val="center"/>
          </w:tcPr>
          <w:p>
            <w:pPr>
              <w:pStyle w:val="19"/>
            </w:pPr>
            <w:r>
              <w:t>有效推进</w:t>
            </w:r>
          </w:p>
        </w:tc>
        <w:tc>
          <w:tcPr>
            <w:tcW w:w="2268" w:type="dxa"/>
            <w:vAlign w:val="center"/>
          </w:tcPr>
          <w:p>
            <w:pPr>
              <w:pStyle w:val="19"/>
            </w:pPr>
            <w:r>
              <w:t>调查走访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服务对象满意度</w:t>
            </w:r>
          </w:p>
        </w:tc>
        <w:tc>
          <w:tcPr>
            <w:tcW w:w="2835" w:type="dxa"/>
            <w:vAlign w:val="center"/>
          </w:tcPr>
          <w:p>
            <w:pPr>
              <w:pStyle w:val="19"/>
            </w:pPr>
            <w:r>
              <w:t>服务群众的综合满意度</w:t>
            </w:r>
          </w:p>
        </w:tc>
        <w:tc>
          <w:tcPr>
            <w:tcW w:w="2551" w:type="dxa"/>
            <w:vAlign w:val="center"/>
          </w:tcPr>
          <w:p>
            <w:pPr>
              <w:pStyle w:val="19"/>
            </w:pPr>
            <w:r>
              <w:t>≥90%</w:t>
            </w:r>
          </w:p>
        </w:tc>
        <w:tc>
          <w:tcPr>
            <w:tcW w:w="2268" w:type="dxa"/>
            <w:vAlign w:val="center"/>
          </w:tcPr>
          <w:p>
            <w:pPr>
              <w:pStyle w:val="19"/>
            </w:pPr>
            <w:r>
              <w:t>调查走访</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18、关于提前下达2022年省级国家电影事业发展专项资金预算的通知-冀财教【2021】154号国产影片放映奖励资金绩效目标表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1.通过奖励放映国产影片成绩突出的影院，提高国产电影的影响力</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奖励放映国产影片成绩突出影院数量</w:t>
            </w:r>
          </w:p>
        </w:tc>
        <w:tc>
          <w:tcPr>
            <w:tcW w:w="2835" w:type="dxa"/>
            <w:vAlign w:val="center"/>
          </w:tcPr>
          <w:p>
            <w:pPr>
              <w:pStyle w:val="19"/>
            </w:pPr>
            <w:r>
              <w:t>奖励放映国产影片成绩突出影院数量</w:t>
            </w:r>
          </w:p>
        </w:tc>
        <w:tc>
          <w:tcPr>
            <w:tcW w:w="2551" w:type="dxa"/>
            <w:vAlign w:val="center"/>
          </w:tcPr>
          <w:p>
            <w:pPr>
              <w:pStyle w:val="19"/>
            </w:pPr>
            <w:r>
              <w:t>1家</w:t>
            </w:r>
          </w:p>
        </w:tc>
        <w:tc>
          <w:tcPr>
            <w:tcW w:w="2268" w:type="dxa"/>
            <w:vAlign w:val="center"/>
          </w:tcPr>
          <w:p>
            <w:pPr>
              <w:pStyle w:val="19"/>
            </w:pPr>
            <w:r>
              <w:t>冀财教【2021】154号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全年影院放映国产影片票房收入占总票房收入的比例</w:t>
            </w:r>
          </w:p>
        </w:tc>
        <w:tc>
          <w:tcPr>
            <w:tcW w:w="2835" w:type="dxa"/>
            <w:vAlign w:val="center"/>
          </w:tcPr>
          <w:p>
            <w:pPr>
              <w:pStyle w:val="19"/>
            </w:pPr>
            <w:r>
              <w:t>全年影院放映国产影片票房收入占总票房收入的比例</w:t>
            </w:r>
          </w:p>
        </w:tc>
        <w:tc>
          <w:tcPr>
            <w:tcW w:w="2551" w:type="dxa"/>
            <w:vAlign w:val="center"/>
          </w:tcPr>
          <w:p>
            <w:pPr>
              <w:pStyle w:val="19"/>
            </w:pPr>
            <w:r>
              <w:t>≥55%</w:t>
            </w:r>
          </w:p>
        </w:tc>
        <w:tc>
          <w:tcPr>
            <w:tcW w:w="2268" w:type="dxa"/>
            <w:vAlign w:val="center"/>
          </w:tcPr>
          <w:p>
            <w:pPr>
              <w:pStyle w:val="19"/>
            </w:pPr>
            <w:r>
              <w:t>冀财教【2021】154号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项目完成时间</w:t>
            </w:r>
          </w:p>
        </w:tc>
        <w:tc>
          <w:tcPr>
            <w:tcW w:w="2835" w:type="dxa"/>
            <w:vAlign w:val="center"/>
          </w:tcPr>
          <w:p>
            <w:pPr>
              <w:pStyle w:val="19"/>
            </w:pPr>
            <w:r>
              <w:t>项目完成时间</w:t>
            </w:r>
          </w:p>
        </w:tc>
        <w:tc>
          <w:tcPr>
            <w:tcW w:w="2551" w:type="dxa"/>
            <w:vAlign w:val="center"/>
          </w:tcPr>
          <w:p>
            <w:pPr>
              <w:pStyle w:val="19"/>
            </w:pPr>
            <w:r>
              <w:t>及时</w:t>
            </w:r>
          </w:p>
        </w:tc>
        <w:tc>
          <w:tcPr>
            <w:tcW w:w="2268" w:type="dxa"/>
            <w:vAlign w:val="center"/>
          </w:tcPr>
          <w:p>
            <w:pPr>
              <w:pStyle w:val="19"/>
            </w:pPr>
            <w:r>
              <w:t>文件方案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国产影片放映奖励资金</w:t>
            </w:r>
          </w:p>
        </w:tc>
        <w:tc>
          <w:tcPr>
            <w:tcW w:w="2835" w:type="dxa"/>
            <w:vAlign w:val="center"/>
          </w:tcPr>
          <w:p>
            <w:pPr>
              <w:pStyle w:val="19"/>
            </w:pPr>
            <w:r>
              <w:t>国产电影放映奖励资金</w:t>
            </w:r>
          </w:p>
        </w:tc>
        <w:tc>
          <w:tcPr>
            <w:tcW w:w="2551" w:type="dxa"/>
            <w:vAlign w:val="center"/>
          </w:tcPr>
          <w:p>
            <w:pPr>
              <w:pStyle w:val="19"/>
            </w:pPr>
            <w:r>
              <w:t>1万元</w:t>
            </w:r>
          </w:p>
        </w:tc>
        <w:tc>
          <w:tcPr>
            <w:tcW w:w="2268" w:type="dxa"/>
            <w:vAlign w:val="center"/>
          </w:tcPr>
          <w:p>
            <w:pPr>
              <w:pStyle w:val="19"/>
            </w:pPr>
            <w:r>
              <w:t>冀财教【2021】154号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效益指标</w:t>
            </w:r>
          </w:p>
        </w:tc>
        <w:tc>
          <w:tcPr>
            <w:tcW w:w="2268" w:type="dxa"/>
            <w:vAlign w:val="center"/>
          </w:tcPr>
          <w:p>
            <w:pPr>
              <w:pStyle w:val="19"/>
            </w:pPr>
            <w:r>
              <w:t>经济效益指标</w:t>
            </w:r>
          </w:p>
        </w:tc>
        <w:tc>
          <w:tcPr>
            <w:tcW w:w="2835" w:type="dxa"/>
            <w:vAlign w:val="center"/>
          </w:tcPr>
          <w:p>
            <w:pPr>
              <w:pStyle w:val="19"/>
            </w:pPr>
            <w:r>
              <w:t>影院全年放映国产影片票房收入增长</w:t>
            </w:r>
          </w:p>
        </w:tc>
        <w:tc>
          <w:tcPr>
            <w:tcW w:w="2835" w:type="dxa"/>
            <w:vAlign w:val="center"/>
          </w:tcPr>
          <w:p>
            <w:pPr>
              <w:pStyle w:val="19"/>
            </w:pPr>
            <w:r>
              <w:t>影院全年放映国产影片票房收入增长</w:t>
            </w:r>
          </w:p>
        </w:tc>
        <w:tc>
          <w:tcPr>
            <w:tcW w:w="2551" w:type="dxa"/>
            <w:vAlign w:val="center"/>
          </w:tcPr>
          <w:p>
            <w:pPr>
              <w:pStyle w:val="19"/>
            </w:pPr>
            <w:r>
              <w:t>≥3%</w:t>
            </w:r>
          </w:p>
        </w:tc>
        <w:tc>
          <w:tcPr>
            <w:tcW w:w="2268" w:type="dxa"/>
            <w:vAlign w:val="center"/>
          </w:tcPr>
          <w:p>
            <w:pPr>
              <w:pStyle w:val="19"/>
            </w:pPr>
            <w:r>
              <w:t>冀财教【2021】154号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社会效益指标</w:t>
            </w:r>
          </w:p>
        </w:tc>
        <w:tc>
          <w:tcPr>
            <w:tcW w:w="2835" w:type="dxa"/>
            <w:vAlign w:val="center"/>
          </w:tcPr>
          <w:p>
            <w:pPr>
              <w:pStyle w:val="19"/>
            </w:pPr>
            <w:r>
              <w:t>影院放映国产影片观影人资增长</w:t>
            </w:r>
          </w:p>
        </w:tc>
        <w:tc>
          <w:tcPr>
            <w:tcW w:w="2835" w:type="dxa"/>
            <w:vAlign w:val="center"/>
          </w:tcPr>
          <w:p>
            <w:pPr>
              <w:pStyle w:val="19"/>
            </w:pPr>
            <w:r>
              <w:t>影院放映国产影片观影人资增长</w:t>
            </w:r>
          </w:p>
        </w:tc>
        <w:tc>
          <w:tcPr>
            <w:tcW w:w="2551" w:type="dxa"/>
            <w:vAlign w:val="center"/>
          </w:tcPr>
          <w:p>
            <w:pPr>
              <w:pStyle w:val="19"/>
            </w:pPr>
            <w:r>
              <w:t>≥3%</w:t>
            </w:r>
          </w:p>
        </w:tc>
        <w:tc>
          <w:tcPr>
            <w:tcW w:w="2268" w:type="dxa"/>
            <w:vAlign w:val="center"/>
          </w:tcPr>
          <w:p>
            <w:pPr>
              <w:pStyle w:val="19"/>
            </w:pPr>
            <w:r>
              <w:t>冀财教【2021】154号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可持续影响指标</w:t>
            </w:r>
          </w:p>
        </w:tc>
        <w:tc>
          <w:tcPr>
            <w:tcW w:w="2835" w:type="dxa"/>
            <w:vAlign w:val="center"/>
          </w:tcPr>
          <w:p>
            <w:pPr>
              <w:pStyle w:val="19"/>
            </w:pPr>
            <w:r>
              <w:t>营造良好观影风气，促进社会和谐进步</w:t>
            </w:r>
          </w:p>
        </w:tc>
        <w:tc>
          <w:tcPr>
            <w:tcW w:w="2835" w:type="dxa"/>
            <w:vAlign w:val="center"/>
          </w:tcPr>
          <w:p>
            <w:pPr>
              <w:pStyle w:val="19"/>
            </w:pPr>
            <w:r>
              <w:t>营造良好观影风气，促进社会和谐进步</w:t>
            </w:r>
          </w:p>
        </w:tc>
        <w:tc>
          <w:tcPr>
            <w:tcW w:w="2551" w:type="dxa"/>
            <w:vAlign w:val="center"/>
          </w:tcPr>
          <w:p>
            <w:pPr>
              <w:pStyle w:val="19"/>
            </w:pPr>
            <w:r>
              <w:t>长期</w:t>
            </w:r>
          </w:p>
        </w:tc>
        <w:tc>
          <w:tcPr>
            <w:tcW w:w="2268" w:type="dxa"/>
            <w:vAlign w:val="center"/>
          </w:tcPr>
          <w:p>
            <w:pPr>
              <w:pStyle w:val="19"/>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群众对电影行业发展的满意度</w:t>
            </w:r>
          </w:p>
        </w:tc>
        <w:tc>
          <w:tcPr>
            <w:tcW w:w="2835" w:type="dxa"/>
            <w:vAlign w:val="center"/>
          </w:tcPr>
          <w:p>
            <w:pPr>
              <w:pStyle w:val="19"/>
            </w:pPr>
            <w:r>
              <w:t>群众对电影行业发展的满意度</w:t>
            </w:r>
          </w:p>
        </w:tc>
        <w:tc>
          <w:tcPr>
            <w:tcW w:w="2551" w:type="dxa"/>
            <w:vAlign w:val="center"/>
          </w:tcPr>
          <w:p>
            <w:pPr>
              <w:pStyle w:val="19"/>
            </w:pPr>
            <w:r>
              <w:t>≥90%</w:t>
            </w:r>
          </w:p>
        </w:tc>
        <w:tc>
          <w:tcPr>
            <w:tcW w:w="2268" w:type="dxa"/>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19、关于提前下达2022年省级宣传文化（发展）资金预算的通知-冀财教【2021】156号提升创建全国文明城市水平经费补贴绩效目标表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1.提升文明城市创建水平</w:t>
            </w:r>
          </w:p>
          <w:p>
            <w:pPr>
              <w:pStyle w:val="19"/>
            </w:pPr>
            <w:r>
              <w:t>2.为创城升温造势，提高群众知晓率、支持率、参与率和满意度，在全社会营造人人参与创建的良好氛围</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组织宣传活动次数</w:t>
            </w:r>
          </w:p>
        </w:tc>
        <w:tc>
          <w:tcPr>
            <w:tcW w:w="2835" w:type="dxa"/>
            <w:vAlign w:val="center"/>
          </w:tcPr>
          <w:p>
            <w:pPr>
              <w:pStyle w:val="19"/>
            </w:pPr>
            <w:r>
              <w:t>组织宣传活动次数</w:t>
            </w:r>
          </w:p>
        </w:tc>
        <w:tc>
          <w:tcPr>
            <w:tcW w:w="2551" w:type="dxa"/>
            <w:vAlign w:val="center"/>
          </w:tcPr>
          <w:p>
            <w:pPr>
              <w:pStyle w:val="19"/>
            </w:pPr>
            <w:r>
              <w:t>≥10次</w:t>
            </w:r>
          </w:p>
        </w:tc>
        <w:tc>
          <w:tcPr>
            <w:tcW w:w="2268" w:type="dxa"/>
            <w:vAlign w:val="center"/>
          </w:tcPr>
          <w:p>
            <w:pPr>
              <w:pStyle w:val="19"/>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公益广告宣传设施合格率</w:t>
            </w:r>
          </w:p>
        </w:tc>
        <w:tc>
          <w:tcPr>
            <w:tcW w:w="2835" w:type="dxa"/>
            <w:vAlign w:val="center"/>
          </w:tcPr>
          <w:p>
            <w:pPr>
              <w:pStyle w:val="19"/>
            </w:pPr>
            <w:r>
              <w:t>按照提供的公益广告素材设置，能经受日晒雨淋无损坏，一年内不出现褪色、破损、残缺</w:t>
            </w:r>
          </w:p>
        </w:tc>
        <w:tc>
          <w:tcPr>
            <w:tcW w:w="2551" w:type="dxa"/>
            <w:vAlign w:val="center"/>
          </w:tcPr>
          <w:p>
            <w:pPr>
              <w:pStyle w:val="19"/>
            </w:pPr>
            <w:r>
              <w:t>≥90%</w:t>
            </w:r>
          </w:p>
        </w:tc>
        <w:tc>
          <w:tcPr>
            <w:tcW w:w="2268" w:type="dxa"/>
            <w:vAlign w:val="center"/>
          </w:tcPr>
          <w:p>
            <w:pPr>
              <w:pStyle w:val="19"/>
            </w:pPr>
            <w:r>
              <w:t>合同方案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宣传活动完成及时性</w:t>
            </w:r>
          </w:p>
        </w:tc>
        <w:tc>
          <w:tcPr>
            <w:tcW w:w="2835" w:type="dxa"/>
            <w:vAlign w:val="center"/>
          </w:tcPr>
          <w:p>
            <w:pPr>
              <w:pStyle w:val="19"/>
            </w:pPr>
            <w:r>
              <w:t>考察是否按计划完成宣传活动。</w:t>
            </w:r>
          </w:p>
        </w:tc>
        <w:tc>
          <w:tcPr>
            <w:tcW w:w="2551" w:type="dxa"/>
            <w:vAlign w:val="center"/>
          </w:tcPr>
          <w:p>
            <w:pPr>
              <w:pStyle w:val="19"/>
            </w:pPr>
            <w:r>
              <w:t>100%</w:t>
            </w:r>
          </w:p>
        </w:tc>
        <w:tc>
          <w:tcPr>
            <w:tcW w:w="2268" w:type="dxa"/>
            <w:vAlign w:val="center"/>
          </w:tcPr>
          <w:p>
            <w:pPr>
              <w:pStyle w:val="19"/>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预算控制数</w:t>
            </w:r>
          </w:p>
        </w:tc>
        <w:tc>
          <w:tcPr>
            <w:tcW w:w="2835" w:type="dxa"/>
            <w:vAlign w:val="center"/>
          </w:tcPr>
          <w:p>
            <w:pPr>
              <w:pStyle w:val="19"/>
            </w:pPr>
            <w:r>
              <w:t>实际支出是否超出预算的情况</w:t>
            </w:r>
          </w:p>
        </w:tc>
        <w:tc>
          <w:tcPr>
            <w:tcW w:w="2551" w:type="dxa"/>
            <w:vAlign w:val="center"/>
          </w:tcPr>
          <w:p>
            <w:pPr>
              <w:pStyle w:val="19"/>
            </w:pPr>
            <w:r>
              <w:t>≤50万元</w:t>
            </w:r>
          </w:p>
        </w:tc>
        <w:tc>
          <w:tcPr>
            <w:tcW w:w="2268" w:type="dxa"/>
            <w:vAlign w:val="center"/>
          </w:tcPr>
          <w:p>
            <w:pPr>
              <w:pStyle w:val="19"/>
            </w:pPr>
            <w:r>
              <w:t>冀财教【2021】156号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效益指标</w:t>
            </w:r>
          </w:p>
        </w:tc>
        <w:tc>
          <w:tcPr>
            <w:tcW w:w="2268" w:type="dxa"/>
            <w:vAlign w:val="center"/>
          </w:tcPr>
          <w:p>
            <w:pPr>
              <w:pStyle w:val="19"/>
            </w:pPr>
            <w:r>
              <w:t>社会效益指标</w:t>
            </w:r>
          </w:p>
        </w:tc>
        <w:tc>
          <w:tcPr>
            <w:tcW w:w="2835" w:type="dxa"/>
            <w:vAlign w:val="center"/>
          </w:tcPr>
          <w:p>
            <w:pPr>
              <w:pStyle w:val="19"/>
            </w:pPr>
            <w:r>
              <w:t>提升全县人民文明建设</w:t>
            </w:r>
          </w:p>
        </w:tc>
        <w:tc>
          <w:tcPr>
            <w:tcW w:w="2835" w:type="dxa"/>
            <w:vAlign w:val="center"/>
          </w:tcPr>
          <w:p>
            <w:pPr>
              <w:pStyle w:val="19"/>
            </w:pPr>
            <w:r>
              <w:t>全县人民创建文明县城情况</w:t>
            </w:r>
          </w:p>
        </w:tc>
        <w:tc>
          <w:tcPr>
            <w:tcW w:w="2551" w:type="dxa"/>
            <w:vAlign w:val="center"/>
          </w:tcPr>
          <w:p>
            <w:pPr>
              <w:pStyle w:val="19"/>
            </w:pPr>
            <w:r>
              <w:t>≥95%</w:t>
            </w:r>
          </w:p>
        </w:tc>
        <w:tc>
          <w:tcPr>
            <w:tcW w:w="2268" w:type="dxa"/>
            <w:vAlign w:val="center"/>
          </w:tcPr>
          <w:p>
            <w:pPr>
              <w:pStyle w:val="19"/>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可持续影响指标</w:t>
            </w:r>
          </w:p>
        </w:tc>
        <w:tc>
          <w:tcPr>
            <w:tcW w:w="2835" w:type="dxa"/>
            <w:vAlign w:val="center"/>
          </w:tcPr>
          <w:p>
            <w:pPr>
              <w:pStyle w:val="19"/>
            </w:pPr>
            <w:r>
              <w:t>文明城市创建保障期限</w:t>
            </w:r>
          </w:p>
        </w:tc>
        <w:tc>
          <w:tcPr>
            <w:tcW w:w="2835" w:type="dxa"/>
            <w:vAlign w:val="center"/>
          </w:tcPr>
          <w:p>
            <w:pPr>
              <w:pStyle w:val="19"/>
            </w:pPr>
            <w:r>
              <w:t>文明城市创建保障期限</w:t>
            </w:r>
          </w:p>
        </w:tc>
        <w:tc>
          <w:tcPr>
            <w:tcW w:w="2551" w:type="dxa"/>
            <w:vAlign w:val="center"/>
          </w:tcPr>
          <w:p>
            <w:pPr>
              <w:pStyle w:val="19"/>
            </w:pPr>
            <w:r>
              <w:t>1年</w:t>
            </w:r>
          </w:p>
        </w:tc>
        <w:tc>
          <w:tcPr>
            <w:tcW w:w="2268" w:type="dxa"/>
            <w:vAlign w:val="center"/>
          </w:tcPr>
          <w:p>
            <w:pPr>
              <w:pStyle w:val="19"/>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群众的综合满意度</w:t>
            </w:r>
          </w:p>
        </w:tc>
        <w:tc>
          <w:tcPr>
            <w:tcW w:w="2835" w:type="dxa"/>
            <w:vAlign w:val="center"/>
          </w:tcPr>
          <w:p>
            <w:pPr>
              <w:pStyle w:val="19"/>
            </w:pPr>
            <w:r>
              <w:t>群众满意情况</w:t>
            </w:r>
          </w:p>
        </w:tc>
        <w:tc>
          <w:tcPr>
            <w:tcW w:w="2551" w:type="dxa"/>
            <w:vAlign w:val="center"/>
          </w:tcPr>
          <w:p>
            <w:pPr>
              <w:pStyle w:val="19"/>
            </w:pPr>
            <w:r>
              <w:t>≥95%</w:t>
            </w:r>
          </w:p>
        </w:tc>
        <w:tc>
          <w:tcPr>
            <w:tcW w:w="2268" w:type="dxa"/>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20、关于提前下达2022年中央补助地方公共文化服务体系建设专项资金预算的通知-冀财教【2021】138号农村电影公益放映绩效目标表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1.推动我县电影事业持续发展</w:t>
            </w:r>
          </w:p>
          <w:p>
            <w:pPr>
              <w:pStyle w:val="19"/>
            </w:pPr>
            <w:r>
              <w:t>2.鼓励引导文化特色、艺术创新影片发行和放映</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月度放映场次</w:t>
            </w:r>
          </w:p>
        </w:tc>
        <w:tc>
          <w:tcPr>
            <w:tcW w:w="2835" w:type="dxa"/>
            <w:vAlign w:val="center"/>
          </w:tcPr>
          <w:p>
            <w:pPr>
              <w:pStyle w:val="19"/>
            </w:pPr>
            <w:r>
              <w:t>每个行政村月度放映电影场次</w:t>
            </w:r>
          </w:p>
        </w:tc>
        <w:tc>
          <w:tcPr>
            <w:tcW w:w="2551" w:type="dxa"/>
            <w:vAlign w:val="center"/>
          </w:tcPr>
          <w:p>
            <w:pPr>
              <w:pStyle w:val="19"/>
            </w:pPr>
            <w:r>
              <w:t>1场/月</w:t>
            </w:r>
          </w:p>
        </w:tc>
        <w:tc>
          <w:tcPr>
            <w:tcW w:w="2268" w:type="dxa"/>
            <w:vAlign w:val="center"/>
          </w:tcPr>
          <w:p>
            <w:pPr>
              <w:pStyle w:val="19"/>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电影放映覆盖率</w:t>
            </w:r>
          </w:p>
        </w:tc>
        <w:tc>
          <w:tcPr>
            <w:tcW w:w="2835" w:type="dxa"/>
            <w:vAlign w:val="center"/>
          </w:tcPr>
          <w:p>
            <w:pPr>
              <w:pStyle w:val="19"/>
            </w:pPr>
            <w:r>
              <w:t>全年行政村电影放映覆盖情况</w:t>
            </w:r>
          </w:p>
        </w:tc>
        <w:tc>
          <w:tcPr>
            <w:tcW w:w="2551" w:type="dxa"/>
            <w:vAlign w:val="center"/>
          </w:tcPr>
          <w:p>
            <w:pPr>
              <w:pStyle w:val="19"/>
            </w:pPr>
            <w:r>
              <w:t>100%</w:t>
            </w:r>
          </w:p>
        </w:tc>
        <w:tc>
          <w:tcPr>
            <w:tcW w:w="2268" w:type="dxa"/>
            <w:vAlign w:val="center"/>
          </w:tcPr>
          <w:p>
            <w:pPr>
              <w:pStyle w:val="19"/>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电影放映及时性完成时间</w:t>
            </w:r>
          </w:p>
        </w:tc>
        <w:tc>
          <w:tcPr>
            <w:tcW w:w="2835" w:type="dxa"/>
            <w:vAlign w:val="center"/>
          </w:tcPr>
          <w:p>
            <w:pPr>
              <w:pStyle w:val="19"/>
            </w:pPr>
            <w:r>
              <w:t>电影放映完成时间</w:t>
            </w:r>
          </w:p>
        </w:tc>
        <w:tc>
          <w:tcPr>
            <w:tcW w:w="2551" w:type="dxa"/>
            <w:vAlign w:val="center"/>
          </w:tcPr>
          <w:p>
            <w:pPr>
              <w:pStyle w:val="19"/>
            </w:pPr>
            <w:r>
              <w:t>1年</w:t>
            </w:r>
          </w:p>
        </w:tc>
        <w:tc>
          <w:tcPr>
            <w:tcW w:w="2268" w:type="dxa"/>
            <w:vAlign w:val="center"/>
          </w:tcPr>
          <w:p>
            <w:pPr>
              <w:pStyle w:val="19"/>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单场电影成本</w:t>
            </w:r>
          </w:p>
        </w:tc>
        <w:tc>
          <w:tcPr>
            <w:tcW w:w="2835" w:type="dxa"/>
            <w:vAlign w:val="center"/>
          </w:tcPr>
          <w:p>
            <w:pPr>
              <w:pStyle w:val="19"/>
            </w:pPr>
            <w:r>
              <w:t>单场电影场次补贴成本</w:t>
            </w:r>
          </w:p>
        </w:tc>
        <w:tc>
          <w:tcPr>
            <w:tcW w:w="2551" w:type="dxa"/>
            <w:vAlign w:val="center"/>
          </w:tcPr>
          <w:p>
            <w:pPr>
              <w:pStyle w:val="19"/>
            </w:pPr>
            <w:r>
              <w:t>≥200元/场</w:t>
            </w:r>
          </w:p>
        </w:tc>
        <w:tc>
          <w:tcPr>
            <w:tcW w:w="2268" w:type="dxa"/>
            <w:vAlign w:val="center"/>
          </w:tcPr>
          <w:p>
            <w:pPr>
              <w:pStyle w:val="19"/>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效益指标</w:t>
            </w:r>
          </w:p>
        </w:tc>
        <w:tc>
          <w:tcPr>
            <w:tcW w:w="2268" w:type="dxa"/>
            <w:vAlign w:val="center"/>
          </w:tcPr>
          <w:p>
            <w:pPr>
              <w:pStyle w:val="19"/>
            </w:pPr>
            <w:r>
              <w:t>社会效益指标</w:t>
            </w:r>
          </w:p>
        </w:tc>
        <w:tc>
          <w:tcPr>
            <w:tcW w:w="2835" w:type="dxa"/>
            <w:vAlign w:val="center"/>
          </w:tcPr>
          <w:p>
            <w:pPr>
              <w:pStyle w:val="19"/>
            </w:pPr>
            <w:r>
              <w:t>丰富群众业余生活</w:t>
            </w:r>
          </w:p>
        </w:tc>
        <w:tc>
          <w:tcPr>
            <w:tcW w:w="2835" w:type="dxa"/>
            <w:vAlign w:val="center"/>
          </w:tcPr>
          <w:p>
            <w:pPr>
              <w:pStyle w:val="19"/>
            </w:pPr>
            <w:r>
              <w:t>群众业余生活情况</w:t>
            </w:r>
          </w:p>
        </w:tc>
        <w:tc>
          <w:tcPr>
            <w:tcW w:w="2551" w:type="dxa"/>
            <w:vAlign w:val="center"/>
          </w:tcPr>
          <w:p>
            <w:pPr>
              <w:pStyle w:val="19"/>
            </w:pPr>
            <w:r>
              <w:t>丰富</w:t>
            </w:r>
          </w:p>
        </w:tc>
        <w:tc>
          <w:tcPr>
            <w:tcW w:w="2268" w:type="dxa"/>
            <w:vAlign w:val="center"/>
          </w:tcPr>
          <w:p>
            <w:pPr>
              <w:pStyle w:val="19"/>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可持续影响指标</w:t>
            </w:r>
          </w:p>
        </w:tc>
        <w:tc>
          <w:tcPr>
            <w:tcW w:w="2835" w:type="dxa"/>
            <w:vAlign w:val="center"/>
          </w:tcPr>
          <w:p>
            <w:pPr>
              <w:pStyle w:val="19"/>
            </w:pPr>
            <w:r>
              <w:t>推动农村电影公益放映有序开展</w:t>
            </w:r>
          </w:p>
        </w:tc>
        <w:tc>
          <w:tcPr>
            <w:tcW w:w="2835" w:type="dxa"/>
            <w:vAlign w:val="center"/>
          </w:tcPr>
          <w:p>
            <w:pPr>
              <w:pStyle w:val="19"/>
            </w:pPr>
            <w:r>
              <w:t>推动农村电影公益放映有序开展</w:t>
            </w:r>
          </w:p>
        </w:tc>
        <w:tc>
          <w:tcPr>
            <w:tcW w:w="2551" w:type="dxa"/>
            <w:vAlign w:val="center"/>
          </w:tcPr>
          <w:p>
            <w:pPr>
              <w:pStyle w:val="19"/>
            </w:pPr>
            <w:r>
              <w:t>有效推进</w:t>
            </w:r>
          </w:p>
        </w:tc>
        <w:tc>
          <w:tcPr>
            <w:tcW w:w="2268" w:type="dxa"/>
            <w:vAlign w:val="center"/>
          </w:tcPr>
          <w:p>
            <w:pPr>
              <w:pStyle w:val="19"/>
            </w:pPr>
            <w:r>
              <w:t>调查走访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服务对象满意度</w:t>
            </w:r>
          </w:p>
        </w:tc>
        <w:tc>
          <w:tcPr>
            <w:tcW w:w="2835" w:type="dxa"/>
            <w:vAlign w:val="center"/>
          </w:tcPr>
          <w:p>
            <w:pPr>
              <w:pStyle w:val="19"/>
            </w:pPr>
            <w:r>
              <w:t>服务群众的综合满意度</w:t>
            </w:r>
          </w:p>
        </w:tc>
        <w:tc>
          <w:tcPr>
            <w:tcW w:w="2551" w:type="dxa"/>
            <w:vAlign w:val="center"/>
          </w:tcPr>
          <w:p>
            <w:pPr>
              <w:pStyle w:val="19"/>
            </w:pPr>
            <w:r>
              <w:t>≥90%</w:t>
            </w:r>
          </w:p>
        </w:tc>
        <w:tc>
          <w:tcPr>
            <w:tcW w:w="2268" w:type="dxa"/>
            <w:vAlign w:val="center"/>
          </w:tcPr>
          <w:p>
            <w:pPr>
              <w:pStyle w:val="19"/>
            </w:pPr>
            <w:r>
              <w:t>调查走访</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21、关于提前下达2022年中央补助地方公共文化服务体系建设专项资金预算的通知-冀财教【2021】138号农家书屋出版物补充及更新绩效目标表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1.为105个行政村配备更新农家书屋出版物，加强农村文化阵地建设</w:t>
            </w:r>
          </w:p>
          <w:p>
            <w:pPr>
              <w:pStyle w:val="19"/>
            </w:pPr>
            <w:r>
              <w:t>2.加强农家书屋日常建设管理和使用</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农家书屋覆盖村街数量</w:t>
            </w:r>
          </w:p>
        </w:tc>
        <w:tc>
          <w:tcPr>
            <w:tcW w:w="2835" w:type="dxa"/>
            <w:vAlign w:val="center"/>
          </w:tcPr>
          <w:p>
            <w:pPr>
              <w:pStyle w:val="19"/>
            </w:pPr>
            <w:r>
              <w:t>农家书屋覆盖村街数量情况</w:t>
            </w:r>
          </w:p>
        </w:tc>
        <w:tc>
          <w:tcPr>
            <w:tcW w:w="2551" w:type="dxa"/>
            <w:vAlign w:val="center"/>
          </w:tcPr>
          <w:p>
            <w:pPr>
              <w:pStyle w:val="19"/>
            </w:pPr>
            <w:r>
              <w:t>≥105村</w:t>
            </w:r>
          </w:p>
        </w:tc>
        <w:tc>
          <w:tcPr>
            <w:tcW w:w="2268" w:type="dxa"/>
            <w:vAlign w:val="center"/>
          </w:tcPr>
          <w:p>
            <w:pPr>
              <w:pStyle w:val="19"/>
            </w:pPr>
            <w:r>
              <w:t>上级通知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出版物验收合格率</w:t>
            </w:r>
          </w:p>
        </w:tc>
        <w:tc>
          <w:tcPr>
            <w:tcW w:w="2835" w:type="dxa"/>
            <w:vAlign w:val="center"/>
          </w:tcPr>
          <w:p>
            <w:pPr>
              <w:pStyle w:val="19"/>
            </w:pPr>
            <w:r>
              <w:t>出版物验收合格情况</w:t>
            </w:r>
          </w:p>
        </w:tc>
        <w:tc>
          <w:tcPr>
            <w:tcW w:w="2551" w:type="dxa"/>
            <w:vAlign w:val="center"/>
          </w:tcPr>
          <w:p>
            <w:pPr>
              <w:pStyle w:val="19"/>
            </w:pPr>
            <w:r>
              <w:t>100%</w:t>
            </w:r>
          </w:p>
        </w:tc>
        <w:tc>
          <w:tcPr>
            <w:tcW w:w="2268" w:type="dxa"/>
            <w:vAlign w:val="center"/>
          </w:tcPr>
          <w:p>
            <w:pPr>
              <w:pStyle w:val="19"/>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更新配备完成时间</w:t>
            </w:r>
          </w:p>
        </w:tc>
        <w:tc>
          <w:tcPr>
            <w:tcW w:w="2835" w:type="dxa"/>
            <w:vAlign w:val="center"/>
          </w:tcPr>
          <w:p>
            <w:pPr>
              <w:pStyle w:val="19"/>
            </w:pPr>
            <w:r>
              <w:t>更新配备时间情况</w:t>
            </w:r>
          </w:p>
        </w:tc>
        <w:tc>
          <w:tcPr>
            <w:tcW w:w="2551" w:type="dxa"/>
            <w:vAlign w:val="center"/>
          </w:tcPr>
          <w:p>
            <w:pPr>
              <w:pStyle w:val="19"/>
            </w:pPr>
            <w:r>
              <w:t>≤11月底前</w:t>
            </w:r>
          </w:p>
        </w:tc>
        <w:tc>
          <w:tcPr>
            <w:tcW w:w="2268" w:type="dxa"/>
            <w:vAlign w:val="center"/>
          </w:tcPr>
          <w:p>
            <w:pPr>
              <w:pStyle w:val="19"/>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单个行政村更新配套成本</w:t>
            </w:r>
          </w:p>
        </w:tc>
        <w:tc>
          <w:tcPr>
            <w:tcW w:w="2835" w:type="dxa"/>
            <w:vAlign w:val="center"/>
          </w:tcPr>
          <w:p>
            <w:pPr>
              <w:pStyle w:val="19"/>
            </w:pPr>
            <w:r>
              <w:t>单个行政村更新配套出版物情况</w:t>
            </w:r>
          </w:p>
        </w:tc>
        <w:tc>
          <w:tcPr>
            <w:tcW w:w="2551" w:type="dxa"/>
            <w:vAlign w:val="center"/>
          </w:tcPr>
          <w:p>
            <w:pPr>
              <w:pStyle w:val="19"/>
            </w:pPr>
            <w:r>
              <w:t>≤2000元/村</w:t>
            </w:r>
          </w:p>
        </w:tc>
        <w:tc>
          <w:tcPr>
            <w:tcW w:w="2268" w:type="dxa"/>
            <w:vAlign w:val="center"/>
          </w:tcPr>
          <w:p>
            <w:pPr>
              <w:pStyle w:val="19"/>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效益指标</w:t>
            </w:r>
          </w:p>
        </w:tc>
        <w:tc>
          <w:tcPr>
            <w:tcW w:w="2268" w:type="dxa"/>
            <w:vAlign w:val="center"/>
          </w:tcPr>
          <w:p>
            <w:pPr>
              <w:pStyle w:val="19"/>
            </w:pPr>
            <w:r>
              <w:t>社会效益指标</w:t>
            </w:r>
          </w:p>
        </w:tc>
        <w:tc>
          <w:tcPr>
            <w:tcW w:w="2835" w:type="dxa"/>
            <w:vAlign w:val="center"/>
          </w:tcPr>
          <w:p>
            <w:pPr>
              <w:pStyle w:val="19"/>
            </w:pPr>
            <w:r>
              <w:t>加强农村文化阵地建设</w:t>
            </w:r>
          </w:p>
        </w:tc>
        <w:tc>
          <w:tcPr>
            <w:tcW w:w="2835" w:type="dxa"/>
            <w:vAlign w:val="center"/>
          </w:tcPr>
          <w:p>
            <w:pPr>
              <w:pStyle w:val="19"/>
            </w:pPr>
            <w:r>
              <w:t>农村文化阵地建设情况</w:t>
            </w:r>
          </w:p>
        </w:tc>
        <w:tc>
          <w:tcPr>
            <w:tcW w:w="2551" w:type="dxa"/>
            <w:vAlign w:val="center"/>
          </w:tcPr>
          <w:p>
            <w:pPr>
              <w:pStyle w:val="19"/>
            </w:pPr>
            <w:r>
              <w:t>加强</w:t>
            </w:r>
          </w:p>
        </w:tc>
        <w:tc>
          <w:tcPr>
            <w:tcW w:w="2268" w:type="dxa"/>
            <w:vAlign w:val="center"/>
          </w:tcPr>
          <w:p>
            <w:pPr>
              <w:pStyle w:val="19"/>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可持续影响指标</w:t>
            </w:r>
          </w:p>
        </w:tc>
        <w:tc>
          <w:tcPr>
            <w:tcW w:w="2835" w:type="dxa"/>
            <w:vAlign w:val="center"/>
          </w:tcPr>
          <w:p>
            <w:pPr>
              <w:pStyle w:val="19"/>
            </w:pPr>
            <w:r>
              <w:t>农家书屋覆盖率</w:t>
            </w:r>
          </w:p>
        </w:tc>
        <w:tc>
          <w:tcPr>
            <w:tcW w:w="2835" w:type="dxa"/>
            <w:vAlign w:val="center"/>
          </w:tcPr>
          <w:p>
            <w:pPr>
              <w:pStyle w:val="19"/>
            </w:pPr>
            <w:r>
              <w:t>农家书屋覆盖率</w:t>
            </w:r>
          </w:p>
        </w:tc>
        <w:tc>
          <w:tcPr>
            <w:tcW w:w="2551" w:type="dxa"/>
            <w:vAlign w:val="center"/>
          </w:tcPr>
          <w:p>
            <w:pPr>
              <w:pStyle w:val="19"/>
            </w:pPr>
            <w:r>
              <w:t>≥90%</w:t>
            </w:r>
          </w:p>
        </w:tc>
        <w:tc>
          <w:tcPr>
            <w:tcW w:w="2268" w:type="dxa"/>
            <w:vAlign w:val="center"/>
          </w:tcPr>
          <w:p>
            <w:pPr>
              <w:pStyle w:val="19"/>
            </w:pPr>
            <w:r>
              <w:t>活动走访调查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群众对农家书屋综合满意度</w:t>
            </w:r>
          </w:p>
        </w:tc>
        <w:tc>
          <w:tcPr>
            <w:tcW w:w="2835" w:type="dxa"/>
            <w:vAlign w:val="center"/>
          </w:tcPr>
          <w:p>
            <w:pPr>
              <w:pStyle w:val="19"/>
            </w:pPr>
            <w:r>
              <w:t>群众对农家书屋综合满意度</w:t>
            </w:r>
          </w:p>
        </w:tc>
        <w:tc>
          <w:tcPr>
            <w:tcW w:w="2551" w:type="dxa"/>
            <w:vAlign w:val="center"/>
          </w:tcPr>
          <w:p>
            <w:pPr>
              <w:pStyle w:val="19"/>
            </w:pPr>
            <w:r>
              <w:t>≥90%</w:t>
            </w:r>
          </w:p>
        </w:tc>
        <w:tc>
          <w:tcPr>
            <w:tcW w:w="2268" w:type="dxa"/>
            <w:vAlign w:val="center"/>
          </w:tcPr>
          <w:p>
            <w:pPr>
              <w:pStyle w:val="19"/>
            </w:pPr>
            <w:r>
              <w:t>活动走访调查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22、提前下达2021年省级宣传文化等转移支付资金（冀财教【2020】189号）-新时代文明实践中心建设补贴经费绩效目标表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1.对文明实践活动给予支持</w:t>
            </w:r>
          </w:p>
          <w:p>
            <w:pPr>
              <w:pStyle w:val="19"/>
            </w:pPr>
            <w:r>
              <w:t>2.根据实际需要做好文体活动等设施配套和提升完善</w:t>
            </w:r>
          </w:p>
          <w:p>
            <w:pPr>
              <w:pStyle w:val="19"/>
            </w:pPr>
            <w:r>
              <w:t>3.组织全县新时代文明实践中心所站负责同志开展培训，提升素质</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宣传活动</w:t>
            </w:r>
          </w:p>
        </w:tc>
        <w:tc>
          <w:tcPr>
            <w:tcW w:w="2835" w:type="dxa"/>
            <w:vAlign w:val="center"/>
          </w:tcPr>
          <w:p>
            <w:pPr>
              <w:pStyle w:val="19"/>
            </w:pPr>
            <w:r>
              <w:t>组织宣传活动次数</w:t>
            </w:r>
          </w:p>
        </w:tc>
        <w:tc>
          <w:tcPr>
            <w:tcW w:w="2551" w:type="dxa"/>
            <w:vAlign w:val="center"/>
          </w:tcPr>
          <w:p>
            <w:pPr>
              <w:pStyle w:val="19"/>
            </w:pPr>
            <w:r>
              <w:t>≥5次</w:t>
            </w:r>
          </w:p>
        </w:tc>
        <w:tc>
          <w:tcPr>
            <w:tcW w:w="2268" w:type="dxa"/>
            <w:vAlign w:val="center"/>
          </w:tcPr>
          <w:p>
            <w:pPr>
              <w:pStyle w:val="19"/>
            </w:pPr>
            <w:r>
              <w:t>达到指标目标值得满分；达到80%目标值以上得50%权重分；低于80%目标值不得分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宣传内容知晓率</w:t>
            </w:r>
          </w:p>
        </w:tc>
        <w:tc>
          <w:tcPr>
            <w:tcW w:w="2835" w:type="dxa"/>
            <w:vAlign w:val="center"/>
          </w:tcPr>
          <w:p>
            <w:pPr>
              <w:pStyle w:val="19"/>
            </w:pPr>
            <w:r>
              <w:t>宣传内容知晓率</w:t>
            </w:r>
          </w:p>
        </w:tc>
        <w:tc>
          <w:tcPr>
            <w:tcW w:w="2551" w:type="dxa"/>
            <w:vAlign w:val="center"/>
          </w:tcPr>
          <w:p>
            <w:pPr>
              <w:pStyle w:val="19"/>
            </w:pPr>
            <w:r>
              <w:t>≥90%</w:t>
            </w:r>
          </w:p>
        </w:tc>
        <w:tc>
          <w:tcPr>
            <w:tcW w:w="2268" w:type="dxa"/>
            <w:vAlign w:val="center"/>
          </w:tcPr>
          <w:p>
            <w:pPr>
              <w:pStyle w:val="19"/>
            </w:pPr>
            <w:r>
              <w:t>达到指标目标值得满分；达到80%目标值以上得50%权重分；低于80%目标值不得分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工作及时性</w:t>
            </w:r>
          </w:p>
        </w:tc>
        <w:tc>
          <w:tcPr>
            <w:tcW w:w="2835" w:type="dxa"/>
            <w:vAlign w:val="center"/>
          </w:tcPr>
          <w:p>
            <w:pPr>
              <w:pStyle w:val="19"/>
            </w:pPr>
            <w:r>
              <w:t>开展工作时间</w:t>
            </w:r>
          </w:p>
        </w:tc>
        <w:tc>
          <w:tcPr>
            <w:tcW w:w="2551" w:type="dxa"/>
            <w:vAlign w:val="center"/>
          </w:tcPr>
          <w:p>
            <w:pPr>
              <w:pStyle w:val="19"/>
            </w:pPr>
            <w:r>
              <w:t>及时</w:t>
            </w:r>
          </w:p>
        </w:tc>
        <w:tc>
          <w:tcPr>
            <w:tcW w:w="2268" w:type="dxa"/>
            <w:vAlign w:val="center"/>
          </w:tcPr>
          <w:p>
            <w:pPr>
              <w:pStyle w:val="19"/>
            </w:pPr>
            <w:r>
              <w:t>达到指标目标值得满分；达到80%目标值以上得50%权重分；低于80%目标值不得分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效益指标</w:t>
            </w:r>
          </w:p>
        </w:tc>
        <w:tc>
          <w:tcPr>
            <w:tcW w:w="2268" w:type="dxa"/>
            <w:vAlign w:val="center"/>
          </w:tcPr>
          <w:p>
            <w:pPr>
              <w:pStyle w:val="19"/>
            </w:pPr>
            <w:r>
              <w:t>社会效益指标</w:t>
            </w:r>
          </w:p>
        </w:tc>
        <w:tc>
          <w:tcPr>
            <w:tcW w:w="2835" w:type="dxa"/>
            <w:vAlign w:val="center"/>
          </w:tcPr>
          <w:p>
            <w:pPr>
              <w:pStyle w:val="19"/>
            </w:pPr>
            <w:r>
              <w:t>提升全县人民文明建设</w:t>
            </w:r>
          </w:p>
        </w:tc>
        <w:tc>
          <w:tcPr>
            <w:tcW w:w="2835" w:type="dxa"/>
            <w:vAlign w:val="center"/>
          </w:tcPr>
          <w:p>
            <w:pPr>
              <w:pStyle w:val="19"/>
            </w:pPr>
            <w:r>
              <w:t>基层群众思想素质、法制观念提升情况</w:t>
            </w:r>
          </w:p>
        </w:tc>
        <w:tc>
          <w:tcPr>
            <w:tcW w:w="2551" w:type="dxa"/>
            <w:vAlign w:val="center"/>
          </w:tcPr>
          <w:p>
            <w:pPr>
              <w:pStyle w:val="19"/>
            </w:pPr>
            <w:r>
              <w:t>有效提升</w:t>
            </w:r>
          </w:p>
        </w:tc>
        <w:tc>
          <w:tcPr>
            <w:tcW w:w="2268" w:type="dxa"/>
            <w:vAlign w:val="center"/>
          </w:tcPr>
          <w:p>
            <w:pPr>
              <w:pStyle w:val="19"/>
            </w:pPr>
            <w:r>
              <w:t>达到指标目标值得满分；达到80%目标值以上得50%权重分；低于80%目标值不得分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服务对象满意度</w:t>
            </w:r>
          </w:p>
        </w:tc>
        <w:tc>
          <w:tcPr>
            <w:tcW w:w="2835" w:type="dxa"/>
            <w:vAlign w:val="center"/>
          </w:tcPr>
          <w:p>
            <w:pPr>
              <w:pStyle w:val="19"/>
            </w:pPr>
            <w:r>
              <w:t>群众对新时代文明实践活动满意度</w:t>
            </w:r>
          </w:p>
        </w:tc>
        <w:tc>
          <w:tcPr>
            <w:tcW w:w="2551" w:type="dxa"/>
            <w:vAlign w:val="center"/>
          </w:tcPr>
          <w:p>
            <w:pPr>
              <w:pStyle w:val="19"/>
            </w:pPr>
            <w:r>
              <w:t>≥90%</w:t>
            </w:r>
          </w:p>
        </w:tc>
        <w:tc>
          <w:tcPr>
            <w:tcW w:w="2268" w:type="dxa"/>
            <w:vAlign w:val="center"/>
          </w:tcPr>
          <w:p>
            <w:pPr>
              <w:pStyle w:val="19"/>
            </w:pPr>
            <w:r>
              <w:t>达到指标目标值得满分；达到80%目标值以上得50%权重分；低于80%目标值不得分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23、县级文化产业发展引导资金绩效目标表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1.加落实省、市委宣传部关于县级设立每年不低于600万元的文化产业发展引导资金要求，落实省委办公厅、省政府办公厅《关于推动全省文化产业加快发展的若干意见》，为繁荣发展县域文化产业提供有力支撑</w:t>
            </w:r>
          </w:p>
          <w:p>
            <w:pPr>
              <w:pStyle w:val="19"/>
            </w:pPr>
            <w:r>
              <w:t>2.集中支持符合文化产业发展方向的重点项目</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奖励企业数量</w:t>
            </w:r>
          </w:p>
        </w:tc>
        <w:tc>
          <w:tcPr>
            <w:tcW w:w="2835" w:type="dxa"/>
            <w:vAlign w:val="center"/>
          </w:tcPr>
          <w:p>
            <w:pPr>
              <w:pStyle w:val="19"/>
            </w:pPr>
            <w:r>
              <w:t>奖励企业数量</w:t>
            </w:r>
          </w:p>
        </w:tc>
        <w:tc>
          <w:tcPr>
            <w:tcW w:w="2551" w:type="dxa"/>
            <w:vAlign w:val="center"/>
          </w:tcPr>
          <w:p>
            <w:pPr>
              <w:pStyle w:val="19"/>
            </w:pPr>
            <w:r>
              <w:t>≥15个</w:t>
            </w:r>
          </w:p>
        </w:tc>
        <w:tc>
          <w:tcPr>
            <w:tcW w:w="2268" w:type="dxa"/>
            <w:vAlign w:val="center"/>
          </w:tcPr>
          <w:p>
            <w:pPr>
              <w:pStyle w:val="19"/>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奖励资金发放合格性</w:t>
            </w:r>
          </w:p>
        </w:tc>
        <w:tc>
          <w:tcPr>
            <w:tcW w:w="2835" w:type="dxa"/>
            <w:vAlign w:val="center"/>
          </w:tcPr>
          <w:p>
            <w:pPr>
              <w:pStyle w:val="19"/>
            </w:pPr>
            <w:r>
              <w:t>奖励资金发放情况</w:t>
            </w:r>
          </w:p>
        </w:tc>
        <w:tc>
          <w:tcPr>
            <w:tcW w:w="2551" w:type="dxa"/>
            <w:vAlign w:val="center"/>
          </w:tcPr>
          <w:p>
            <w:pPr>
              <w:pStyle w:val="19"/>
            </w:pPr>
            <w:r>
              <w:t>100%</w:t>
            </w:r>
          </w:p>
        </w:tc>
        <w:tc>
          <w:tcPr>
            <w:tcW w:w="2268" w:type="dxa"/>
            <w:vAlign w:val="center"/>
          </w:tcPr>
          <w:p>
            <w:pPr>
              <w:pStyle w:val="19"/>
            </w:pPr>
            <w:r>
              <w:t>往年数据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奖励资金发放及时性</w:t>
            </w:r>
          </w:p>
        </w:tc>
        <w:tc>
          <w:tcPr>
            <w:tcW w:w="2835" w:type="dxa"/>
            <w:vAlign w:val="center"/>
          </w:tcPr>
          <w:p>
            <w:pPr>
              <w:pStyle w:val="19"/>
            </w:pPr>
            <w:r>
              <w:t>奖励资金发放时间</w:t>
            </w:r>
          </w:p>
        </w:tc>
        <w:tc>
          <w:tcPr>
            <w:tcW w:w="2551" w:type="dxa"/>
            <w:vAlign w:val="center"/>
          </w:tcPr>
          <w:p>
            <w:pPr>
              <w:pStyle w:val="19"/>
            </w:pPr>
            <w:r>
              <w:t>1年</w:t>
            </w:r>
          </w:p>
        </w:tc>
        <w:tc>
          <w:tcPr>
            <w:tcW w:w="2268" w:type="dxa"/>
            <w:vAlign w:val="center"/>
          </w:tcPr>
          <w:p>
            <w:pPr>
              <w:pStyle w:val="19"/>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单位企业奖励成本</w:t>
            </w:r>
          </w:p>
        </w:tc>
        <w:tc>
          <w:tcPr>
            <w:tcW w:w="2835" w:type="dxa"/>
            <w:vAlign w:val="center"/>
          </w:tcPr>
          <w:p>
            <w:pPr>
              <w:pStyle w:val="19"/>
            </w:pPr>
            <w:r>
              <w:t>奖励单个企业成本情况</w:t>
            </w:r>
          </w:p>
        </w:tc>
        <w:tc>
          <w:tcPr>
            <w:tcW w:w="2551" w:type="dxa"/>
            <w:vAlign w:val="center"/>
          </w:tcPr>
          <w:p>
            <w:pPr>
              <w:pStyle w:val="19"/>
            </w:pPr>
            <w:r>
              <w:t>≥5万元</w:t>
            </w:r>
          </w:p>
        </w:tc>
        <w:tc>
          <w:tcPr>
            <w:tcW w:w="2268" w:type="dxa"/>
            <w:vAlign w:val="center"/>
          </w:tcPr>
          <w:p>
            <w:pPr>
              <w:pStyle w:val="19"/>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效益指标</w:t>
            </w:r>
          </w:p>
        </w:tc>
        <w:tc>
          <w:tcPr>
            <w:tcW w:w="2268" w:type="dxa"/>
            <w:vAlign w:val="center"/>
          </w:tcPr>
          <w:p>
            <w:pPr>
              <w:pStyle w:val="19"/>
            </w:pPr>
            <w:r>
              <w:t>社会效益指标</w:t>
            </w:r>
          </w:p>
        </w:tc>
        <w:tc>
          <w:tcPr>
            <w:tcW w:w="2835" w:type="dxa"/>
            <w:vAlign w:val="center"/>
          </w:tcPr>
          <w:p>
            <w:pPr>
              <w:pStyle w:val="19"/>
            </w:pPr>
            <w:r>
              <w:t>促进文化产业</w:t>
            </w:r>
          </w:p>
        </w:tc>
        <w:tc>
          <w:tcPr>
            <w:tcW w:w="2835" w:type="dxa"/>
            <w:vAlign w:val="center"/>
          </w:tcPr>
          <w:p>
            <w:pPr>
              <w:pStyle w:val="19"/>
            </w:pPr>
            <w:r>
              <w:t>文化产业发展情况</w:t>
            </w:r>
          </w:p>
        </w:tc>
        <w:tc>
          <w:tcPr>
            <w:tcW w:w="2551" w:type="dxa"/>
            <w:vAlign w:val="center"/>
          </w:tcPr>
          <w:p>
            <w:pPr>
              <w:pStyle w:val="19"/>
            </w:pPr>
            <w:r>
              <w:t>100%</w:t>
            </w:r>
          </w:p>
        </w:tc>
        <w:tc>
          <w:tcPr>
            <w:tcW w:w="2268" w:type="dxa"/>
            <w:vAlign w:val="center"/>
          </w:tcPr>
          <w:p>
            <w:pPr>
              <w:pStyle w:val="19"/>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可持续影响指标</w:t>
            </w:r>
          </w:p>
        </w:tc>
        <w:tc>
          <w:tcPr>
            <w:tcW w:w="2835" w:type="dxa"/>
            <w:vAlign w:val="center"/>
          </w:tcPr>
          <w:p>
            <w:pPr>
              <w:pStyle w:val="19"/>
            </w:pPr>
            <w:r>
              <w:t>可持续影响</w:t>
            </w:r>
          </w:p>
        </w:tc>
        <w:tc>
          <w:tcPr>
            <w:tcW w:w="2835" w:type="dxa"/>
            <w:vAlign w:val="center"/>
          </w:tcPr>
          <w:p>
            <w:pPr>
              <w:pStyle w:val="19"/>
            </w:pPr>
            <w:r>
              <w:t>推动文化产业发展</w:t>
            </w:r>
          </w:p>
        </w:tc>
        <w:tc>
          <w:tcPr>
            <w:tcW w:w="2551" w:type="dxa"/>
            <w:vAlign w:val="center"/>
          </w:tcPr>
          <w:p>
            <w:pPr>
              <w:pStyle w:val="19"/>
            </w:pPr>
            <w:r>
              <w:t>显著</w:t>
            </w:r>
          </w:p>
        </w:tc>
        <w:tc>
          <w:tcPr>
            <w:tcW w:w="2268" w:type="dxa"/>
            <w:vAlign w:val="center"/>
          </w:tcPr>
          <w:p>
            <w:pPr>
              <w:pStyle w:val="19"/>
            </w:pPr>
            <w:r>
              <w:t>活动走访调查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服务对象的综合满意度</w:t>
            </w:r>
          </w:p>
        </w:tc>
        <w:tc>
          <w:tcPr>
            <w:tcW w:w="2835" w:type="dxa"/>
            <w:vAlign w:val="center"/>
          </w:tcPr>
          <w:p>
            <w:pPr>
              <w:pStyle w:val="19"/>
            </w:pPr>
            <w:r>
              <w:t>文艺企业满意度</w:t>
            </w:r>
          </w:p>
        </w:tc>
        <w:tc>
          <w:tcPr>
            <w:tcW w:w="2551" w:type="dxa"/>
            <w:vAlign w:val="center"/>
          </w:tcPr>
          <w:p>
            <w:pPr>
              <w:pStyle w:val="19"/>
            </w:pPr>
            <w:r>
              <w:t>≥90%</w:t>
            </w:r>
          </w:p>
        </w:tc>
        <w:tc>
          <w:tcPr>
            <w:tcW w:w="2268" w:type="dxa"/>
            <w:vAlign w:val="center"/>
          </w:tcPr>
          <w:p>
            <w:pPr>
              <w:pStyle w:val="19"/>
            </w:pPr>
            <w:r>
              <w:t>活动走访调查</w:t>
            </w:r>
          </w:p>
        </w:tc>
      </w:tr>
    </w:tbl>
    <w:p>
      <w:pPr>
        <w:sectPr>
          <w:pgSz w:w="16840" w:h="11900" w:orient="landscape"/>
          <w:pgMar w:top="1361" w:right="1020" w:bottom="1134" w:left="1020" w:header="720" w:footer="720" w:gutter="0"/>
          <w:cols w:space="720" w:num="1"/>
        </w:sectPr>
      </w:pPr>
    </w:p>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00" w:lineRule="exact"/>
        <w:ind w:firstLine="560"/>
      </w:pPr>
      <w:r>
        <w:rPr>
          <w:rFonts w:ascii="Times New Roman" w:hAnsi="Times New Roman" w:eastAsia="方正仿宋_GBK" w:cs="Times New Roman"/>
          <w:color w:val="000000"/>
          <w:sz w:val="28"/>
        </w:rPr>
        <w:t>2022年，中共大厂回族自治县委宣传部安排政府采购预算1000000.00元。具体内容见下表。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6"/>
            </w:pPr>
            <w:r>
              <w:t>211中共大厂回族自治县委宣传部</w:t>
            </w:r>
          </w:p>
        </w:tc>
        <w:tc>
          <w:tcPr>
            <w:tcW w:w="8674" w:type="dxa"/>
            <w:gridSpan w:val="9"/>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7"/>
            </w:pPr>
            <w:r>
              <w:t>政府采购项目来源</w:t>
            </w:r>
          </w:p>
        </w:tc>
        <w:tc>
          <w:tcPr>
            <w:tcW w:w="1134" w:type="dxa"/>
            <w:vMerge w:val="restart"/>
            <w:vAlign w:val="center"/>
          </w:tcPr>
          <w:p>
            <w:pPr>
              <w:pStyle w:val="17"/>
            </w:pPr>
            <w:r>
              <w:t>采购物品名称</w:t>
            </w:r>
          </w:p>
        </w:tc>
        <w:tc>
          <w:tcPr>
            <w:tcW w:w="1134" w:type="dxa"/>
            <w:vMerge w:val="restart"/>
            <w:vAlign w:val="center"/>
          </w:tcPr>
          <w:p>
            <w:pPr>
              <w:pStyle w:val="17"/>
            </w:pPr>
            <w:r>
              <w:t>政府采购目录序号</w:t>
            </w:r>
          </w:p>
        </w:tc>
        <w:tc>
          <w:tcPr>
            <w:tcW w:w="709" w:type="dxa"/>
            <w:vMerge w:val="restart"/>
            <w:vAlign w:val="center"/>
          </w:tcPr>
          <w:p>
            <w:pPr>
              <w:pStyle w:val="17"/>
            </w:pPr>
            <w:r>
              <w:t>计量  单位</w:t>
            </w:r>
          </w:p>
        </w:tc>
        <w:tc>
          <w:tcPr>
            <w:tcW w:w="850" w:type="dxa"/>
            <w:vMerge w:val="restart"/>
            <w:vAlign w:val="center"/>
          </w:tcPr>
          <w:p>
            <w:pPr>
              <w:pStyle w:val="17"/>
            </w:pPr>
            <w:r>
              <w:t>数量</w:t>
            </w:r>
          </w:p>
        </w:tc>
        <w:tc>
          <w:tcPr>
            <w:tcW w:w="850" w:type="dxa"/>
            <w:vMerge w:val="restart"/>
            <w:vAlign w:val="center"/>
          </w:tcPr>
          <w:p>
            <w:pPr>
              <w:pStyle w:val="17"/>
            </w:pPr>
            <w:r>
              <w:t>单价</w:t>
            </w:r>
          </w:p>
        </w:tc>
        <w:tc>
          <w:tcPr>
            <w:tcW w:w="7710" w:type="dxa"/>
            <w:gridSpan w:val="8"/>
            <w:vAlign w:val="center"/>
          </w:tcPr>
          <w:p>
            <w:pPr>
              <w:pStyle w:val="17"/>
            </w:pPr>
            <w:r>
              <w:t>政府采购金额（当年部门预算安排资金）</w:t>
            </w:r>
          </w:p>
        </w:tc>
        <w:tc>
          <w:tcPr>
            <w:tcW w:w="964" w:type="dxa"/>
            <w:vMerge w:val="restart"/>
            <w:vAlign w:val="center"/>
          </w:tcPr>
          <w:p>
            <w:pPr>
              <w:pStyle w:val="17"/>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7"/>
            </w:pPr>
            <w:r>
              <w:t>项目名称</w:t>
            </w:r>
          </w:p>
        </w:tc>
        <w:tc>
          <w:tcPr>
            <w:tcW w:w="964" w:type="dxa"/>
            <w:vAlign w:val="center"/>
          </w:tcPr>
          <w:p>
            <w:pPr>
              <w:pStyle w:val="17"/>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7"/>
            </w:pPr>
            <w:r>
              <w:t>合计</w:t>
            </w:r>
          </w:p>
        </w:tc>
        <w:tc>
          <w:tcPr>
            <w:tcW w:w="964" w:type="dxa"/>
            <w:vAlign w:val="center"/>
          </w:tcPr>
          <w:p>
            <w:pPr>
              <w:pStyle w:val="17"/>
            </w:pPr>
            <w:r>
              <w:t>一般公共预算拨款</w:t>
            </w:r>
          </w:p>
        </w:tc>
        <w:tc>
          <w:tcPr>
            <w:tcW w:w="964" w:type="dxa"/>
            <w:vAlign w:val="center"/>
          </w:tcPr>
          <w:p>
            <w:pPr>
              <w:pStyle w:val="17"/>
            </w:pPr>
            <w:r>
              <w:t>基金预算拨款</w:t>
            </w:r>
          </w:p>
        </w:tc>
        <w:tc>
          <w:tcPr>
            <w:tcW w:w="964" w:type="dxa"/>
            <w:vAlign w:val="center"/>
          </w:tcPr>
          <w:p>
            <w:pPr>
              <w:pStyle w:val="17"/>
            </w:pPr>
            <w:r>
              <w:t>国有资本经营预算拨款</w:t>
            </w:r>
          </w:p>
        </w:tc>
        <w:tc>
          <w:tcPr>
            <w:tcW w:w="964" w:type="dxa"/>
            <w:vAlign w:val="center"/>
          </w:tcPr>
          <w:p>
            <w:pPr>
              <w:pStyle w:val="17"/>
            </w:pPr>
            <w:r>
              <w:t>财政专户核拨</w:t>
            </w:r>
          </w:p>
        </w:tc>
        <w:tc>
          <w:tcPr>
            <w:tcW w:w="964" w:type="dxa"/>
            <w:vAlign w:val="center"/>
          </w:tcPr>
          <w:p>
            <w:pPr>
              <w:pStyle w:val="17"/>
            </w:pPr>
            <w:r>
              <w:t>单位    资金</w:t>
            </w:r>
          </w:p>
        </w:tc>
        <w:tc>
          <w:tcPr>
            <w:tcW w:w="964" w:type="dxa"/>
            <w:vAlign w:val="center"/>
          </w:tcPr>
          <w:p>
            <w:pPr>
              <w:pStyle w:val="17"/>
            </w:pPr>
            <w:r>
              <w:t>财政拨    款结转</w:t>
            </w:r>
          </w:p>
        </w:tc>
        <w:tc>
          <w:tcPr>
            <w:tcW w:w="964" w:type="dxa"/>
            <w:vAlign w:val="center"/>
          </w:tcPr>
          <w:p>
            <w:pPr>
              <w:pStyle w:val="17"/>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pPr>
            <w:r>
              <w:t>合  计</w:t>
            </w:r>
          </w:p>
        </w:tc>
        <w:tc>
          <w:tcPr>
            <w:tcW w:w="964" w:type="dxa"/>
            <w:vAlign w:val="center"/>
          </w:tcPr>
          <w:p>
            <w:pPr>
              <w:pStyle w:val="22"/>
            </w:pPr>
          </w:p>
        </w:tc>
        <w:tc>
          <w:tcPr>
            <w:tcW w:w="1134" w:type="dxa"/>
            <w:vAlign w:val="center"/>
          </w:tcPr>
          <w:p>
            <w:pPr>
              <w:pStyle w:val="23"/>
            </w:pPr>
          </w:p>
        </w:tc>
        <w:tc>
          <w:tcPr>
            <w:tcW w:w="1134" w:type="dxa"/>
            <w:vAlign w:val="center"/>
          </w:tcPr>
          <w:p>
            <w:pPr>
              <w:pStyle w:val="23"/>
            </w:pPr>
          </w:p>
        </w:tc>
        <w:tc>
          <w:tcPr>
            <w:tcW w:w="709" w:type="dxa"/>
            <w:vAlign w:val="center"/>
          </w:tcPr>
          <w:p>
            <w:pPr>
              <w:pStyle w:val="21"/>
            </w:pPr>
          </w:p>
        </w:tc>
        <w:tc>
          <w:tcPr>
            <w:tcW w:w="850" w:type="dxa"/>
            <w:vAlign w:val="center"/>
          </w:tcPr>
          <w:p>
            <w:pPr>
              <w:pStyle w:val="22"/>
            </w:pPr>
          </w:p>
        </w:tc>
        <w:tc>
          <w:tcPr>
            <w:tcW w:w="850" w:type="dxa"/>
            <w:vAlign w:val="center"/>
          </w:tcPr>
          <w:p>
            <w:pPr>
              <w:pStyle w:val="22"/>
            </w:pPr>
          </w:p>
        </w:tc>
        <w:tc>
          <w:tcPr>
            <w:tcW w:w="964" w:type="dxa"/>
            <w:vAlign w:val="center"/>
          </w:tcPr>
          <w:p>
            <w:pPr>
              <w:pStyle w:val="22"/>
            </w:pPr>
            <w:r>
              <w:t>1000000.00</w:t>
            </w:r>
          </w:p>
        </w:tc>
        <w:tc>
          <w:tcPr>
            <w:tcW w:w="964" w:type="dxa"/>
            <w:vAlign w:val="center"/>
          </w:tcPr>
          <w:p>
            <w:pPr>
              <w:pStyle w:val="22"/>
            </w:pPr>
            <w:r>
              <w:t>1000000.00</w:t>
            </w: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r>
              <w:t>1000000.00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pPr>
            <w:r>
              <w:t>中共大厂回族自治县委宣传部小计</w:t>
            </w:r>
          </w:p>
        </w:tc>
        <w:tc>
          <w:tcPr>
            <w:tcW w:w="964" w:type="dxa"/>
            <w:vAlign w:val="center"/>
          </w:tcPr>
          <w:p>
            <w:pPr>
              <w:pStyle w:val="22"/>
            </w:pPr>
          </w:p>
        </w:tc>
        <w:tc>
          <w:tcPr>
            <w:tcW w:w="1134" w:type="dxa"/>
            <w:vAlign w:val="center"/>
          </w:tcPr>
          <w:p>
            <w:pPr>
              <w:pStyle w:val="23"/>
            </w:pPr>
          </w:p>
        </w:tc>
        <w:tc>
          <w:tcPr>
            <w:tcW w:w="1134" w:type="dxa"/>
            <w:vAlign w:val="center"/>
          </w:tcPr>
          <w:p>
            <w:pPr>
              <w:pStyle w:val="23"/>
            </w:pPr>
          </w:p>
        </w:tc>
        <w:tc>
          <w:tcPr>
            <w:tcW w:w="709" w:type="dxa"/>
            <w:vAlign w:val="center"/>
          </w:tcPr>
          <w:p>
            <w:pPr>
              <w:pStyle w:val="21"/>
            </w:pPr>
          </w:p>
        </w:tc>
        <w:tc>
          <w:tcPr>
            <w:tcW w:w="850" w:type="dxa"/>
            <w:vAlign w:val="center"/>
          </w:tcPr>
          <w:p>
            <w:pPr>
              <w:pStyle w:val="22"/>
            </w:pPr>
          </w:p>
        </w:tc>
        <w:tc>
          <w:tcPr>
            <w:tcW w:w="850" w:type="dxa"/>
            <w:vAlign w:val="center"/>
          </w:tcPr>
          <w:p>
            <w:pPr>
              <w:pStyle w:val="22"/>
            </w:pPr>
          </w:p>
        </w:tc>
        <w:tc>
          <w:tcPr>
            <w:tcW w:w="964" w:type="dxa"/>
            <w:vAlign w:val="center"/>
          </w:tcPr>
          <w:p>
            <w:pPr>
              <w:pStyle w:val="22"/>
            </w:pPr>
            <w:r>
              <w:t>1000000.00</w:t>
            </w:r>
          </w:p>
        </w:tc>
        <w:tc>
          <w:tcPr>
            <w:tcW w:w="964" w:type="dxa"/>
            <w:vAlign w:val="center"/>
          </w:tcPr>
          <w:p>
            <w:pPr>
              <w:pStyle w:val="22"/>
            </w:pPr>
            <w:r>
              <w:t>1000000.00</w:t>
            </w: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r>
              <w:t>1000000.00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创建全国文明县城经费</w:t>
            </w:r>
          </w:p>
        </w:tc>
        <w:tc>
          <w:tcPr>
            <w:tcW w:w="964" w:type="dxa"/>
            <w:vAlign w:val="center"/>
          </w:tcPr>
          <w:p>
            <w:pPr>
              <w:pStyle w:val="18"/>
            </w:pPr>
            <w:r>
              <w:t>1000000.00</w:t>
            </w:r>
          </w:p>
        </w:tc>
        <w:tc>
          <w:tcPr>
            <w:tcW w:w="1134" w:type="dxa"/>
            <w:vAlign w:val="center"/>
          </w:tcPr>
          <w:p>
            <w:pPr>
              <w:pStyle w:val="19"/>
            </w:pPr>
            <w:r>
              <w:t>其他服务</w:t>
            </w:r>
          </w:p>
        </w:tc>
        <w:tc>
          <w:tcPr>
            <w:tcW w:w="1134" w:type="dxa"/>
            <w:vAlign w:val="center"/>
          </w:tcPr>
          <w:p>
            <w:pPr>
              <w:pStyle w:val="19"/>
            </w:pPr>
            <w:r>
              <w:t>C99</w:t>
            </w:r>
          </w:p>
        </w:tc>
        <w:tc>
          <w:tcPr>
            <w:tcW w:w="709" w:type="dxa"/>
            <w:vAlign w:val="center"/>
          </w:tcPr>
          <w:p>
            <w:pPr>
              <w:pStyle w:val="20"/>
            </w:pPr>
            <w:r>
              <w:t>元</w:t>
            </w:r>
          </w:p>
        </w:tc>
        <w:tc>
          <w:tcPr>
            <w:tcW w:w="850" w:type="dxa"/>
            <w:vAlign w:val="center"/>
          </w:tcPr>
          <w:p>
            <w:pPr>
              <w:pStyle w:val="18"/>
            </w:pPr>
            <w:r>
              <w:t>1</w:t>
            </w:r>
          </w:p>
        </w:tc>
        <w:tc>
          <w:tcPr>
            <w:tcW w:w="850" w:type="dxa"/>
            <w:vAlign w:val="center"/>
          </w:tcPr>
          <w:p>
            <w:pPr>
              <w:pStyle w:val="18"/>
            </w:pPr>
            <w:r>
              <w:t>500000.00</w:t>
            </w:r>
          </w:p>
        </w:tc>
        <w:tc>
          <w:tcPr>
            <w:tcW w:w="964" w:type="dxa"/>
            <w:vAlign w:val="center"/>
          </w:tcPr>
          <w:p>
            <w:pPr>
              <w:pStyle w:val="18"/>
            </w:pPr>
            <w:r>
              <w:t>500000.00</w:t>
            </w:r>
          </w:p>
        </w:tc>
        <w:tc>
          <w:tcPr>
            <w:tcW w:w="964" w:type="dxa"/>
            <w:vAlign w:val="center"/>
          </w:tcPr>
          <w:p>
            <w:pPr>
              <w:pStyle w:val="18"/>
            </w:pPr>
            <w:r>
              <w:t>500000.00</w:t>
            </w: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r>
              <w:t>500000.00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关于提前下达2022年省级宣传文化（发展）资金预算的通知-冀财教【2021】156号提升创建全国文明城市水平经费补贴</w:t>
            </w:r>
          </w:p>
        </w:tc>
        <w:tc>
          <w:tcPr>
            <w:tcW w:w="964" w:type="dxa"/>
            <w:vAlign w:val="center"/>
          </w:tcPr>
          <w:p>
            <w:pPr>
              <w:pStyle w:val="18"/>
            </w:pPr>
            <w:r>
              <w:t>500000.00</w:t>
            </w:r>
          </w:p>
        </w:tc>
        <w:tc>
          <w:tcPr>
            <w:tcW w:w="1134" w:type="dxa"/>
            <w:vAlign w:val="center"/>
          </w:tcPr>
          <w:p>
            <w:pPr>
              <w:pStyle w:val="19"/>
            </w:pPr>
            <w:r>
              <w:t>其他服务</w:t>
            </w:r>
          </w:p>
        </w:tc>
        <w:tc>
          <w:tcPr>
            <w:tcW w:w="1134" w:type="dxa"/>
            <w:vAlign w:val="center"/>
          </w:tcPr>
          <w:p>
            <w:pPr>
              <w:pStyle w:val="19"/>
            </w:pPr>
            <w:r>
              <w:t>C99</w:t>
            </w:r>
          </w:p>
        </w:tc>
        <w:tc>
          <w:tcPr>
            <w:tcW w:w="709" w:type="dxa"/>
            <w:vAlign w:val="center"/>
          </w:tcPr>
          <w:p>
            <w:pPr>
              <w:pStyle w:val="20"/>
            </w:pPr>
            <w:r>
              <w:t>元</w:t>
            </w:r>
          </w:p>
        </w:tc>
        <w:tc>
          <w:tcPr>
            <w:tcW w:w="850" w:type="dxa"/>
            <w:vAlign w:val="center"/>
          </w:tcPr>
          <w:p>
            <w:pPr>
              <w:pStyle w:val="18"/>
            </w:pPr>
            <w:r>
              <w:t>1</w:t>
            </w:r>
          </w:p>
        </w:tc>
        <w:tc>
          <w:tcPr>
            <w:tcW w:w="850" w:type="dxa"/>
            <w:vAlign w:val="center"/>
          </w:tcPr>
          <w:p>
            <w:pPr>
              <w:pStyle w:val="18"/>
            </w:pPr>
            <w:r>
              <w:t>500000.00</w:t>
            </w:r>
          </w:p>
        </w:tc>
        <w:tc>
          <w:tcPr>
            <w:tcW w:w="964" w:type="dxa"/>
            <w:vAlign w:val="center"/>
          </w:tcPr>
          <w:p>
            <w:pPr>
              <w:pStyle w:val="18"/>
            </w:pPr>
            <w:r>
              <w:t>500000.00</w:t>
            </w:r>
          </w:p>
        </w:tc>
        <w:tc>
          <w:tcPr>
            <w:tcW w:w="964" w:type="dxa"/>
            <w:vAlign w:val="center"/>
          </w:tcPr>
          <w:p>
            <w:pPr>
              <w:pStyle w:val="18"/>
            </w:pPr>
            <w:r>
              <w:t>500000.00</w:t>
            </w: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r>
              <w:t>500000.00</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仿宋" w:hAnsi="仿宋" w:eastAsia="仿宋" w:cs="Times New Roman"/>
          <w:sz w:val="32"/>
          <w:szCs w:val="32"/>
        </w:rPr>
      </w:pPr>
      <w:r>
        <w:rPr>
          <w:rFonts w:hint="eastAsia" w:ascii="仿宋" w:hAnsi="仿宋" w:eastAsia="仿宋" w:cs="Times New Roman"/>
          <w:sz w:val="32"/>
          <w:szCs w:val="32"/>
        </w:rPr>
        <w:t>大厂回族自治县委宣传部</w:t>
      </w:r>
      <w:r>
        <w:rPr>
          <w:rFonts w:ascii="仿宋" w:hAnsi="仿宋" w:eastAsia="仿宋" w:cs="Times New Roman"/>
          <w:sz w:val="32"/>
          <w:szCs w:val="32"/>
        </w:rPr>
        <w:t>（含所属单位）上年末固定资产金额为</w:t>
      </w:r>
      <w:r>
        <w:rPr>
          <w:rFonts w:hint="eastAsia" w:ascii="仿宋" w:hAnsi="仿宋" w:eastAsia="仿宋" w:cs="Times New Roman"/>
          <w:sz w:val="32"/>
          <w:szCs w:val="32"/>
        </w:rPr>
        <w:t>327.61</w:t>
      </w:r>
      <w:r>
        <w:rPr>
          <w:rFonts w:ascii="仿宋" w:hAnsi="仿宋" w:eastAsia="仿宋" w:cs="Times New Roman"/>
          <w:sz w:val="32"/>
          <w:szCs w:val="32"/>
        </w:rPr>
        <w:t>万元</w:t>
      </w:r>
      <w:r>
        <w:rPr>
          <w:rFonts w:hint="eastAsia" w:ascii="仿宋" w:hAnsi="仿宋" w:eastAsia="仿宋" w:cs="Times New Roman"/>
          <w:sz w:val="32"/>
          <w:szCs w:val="32"/>
        </w:rPr>
        <w:t>（详见下表）</w:t>
      </w:r>
      <w:r>
        <w:rPr>
          <w:rFonts w:ascii="仿宋" w:hAnsi="仿宋" w:eastAsia="仿宋" w:cs="Times New Roman"/>
          <w:sz w:val="32"/>
          <w:szCs w:val="32"/>
        </w:rPr>
        <w:t>，本年度我部门拟购置固定资产</w:t>
      </w:r>
      <w:r>
        <w:rPr>
          <w:rFonts w:hint="eastAsia" w:ascii="仿宋" w:hAnsi="仿宋" w:eastAsia="仿宋" w:cs="Times New Roman"/>
          <w:sz w:val="32"/>
          <w:szCs w:val="32"/>
        </w:rPr>
        <w:t>总额为0万元</w:t>
      </w:r>
      <w:r>
        <w:rPr>
          <w:rFonts w:ascii="仿宋" w:hAnsi="仿宋" w:eastAsia="仿宋"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仿宋" w:hAnsi="仿宋" w:eastAsia="仿宋" w:cs="Times New Roman"/>
                <w:b/>
                <w:bCs/>
                <w:kern w:val="0"/>
                <w:sz w:val="32"/>
                <w:szCs w:val="32"/>
              </w:rPr>
            </w:pPr>
            <w:r>
              <w:rPr>
                <w:rFonts w:hint="eastAsia" w:ascii="仿宋" w:hAnsi="仿宋" w:eastAsia="仿宋" w:cs="Times New Roman"/>
                <w:b/>
                <w:bCs/>
                <w:kern w:val="0"/>
                <w:sz w:val="32"/>
                <w:szCs w:val="32"/>
              </w:rPr>
              <w:t>大厂回族自治县县</w:t>
            </w:r>
            <w:r>
              <w:rPr>
                <w:rFonts w:ascii="仿宋" w:hAnsi="仿宋" w:eastAsia="仿宋"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大厂回族自治县委宣传部</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327.61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35.73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184.72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107.16</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1、一般公共预算拨款收入：</w:t>
      </w:r>
      <w:r>
        <w:rPr>
          <w:rFonts w:ascii="仿宋" w:hAnsi="仿宋" w:eastAsia="仿宋" w:cs="Times New Roman"/>
          <w:sz w:val="32"/>
          <w:szCs w:val="32"/>
        </w:rPr>
        <w:t>指省级财政当年拨付的资金。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2、事业收入：</w:t>
      </w:r>
      <w:r>
        <w:rPr>
          <w:rFonts w:ascii="仿宋" w:hAnsi="仿宋" w:eastAsia="仿宋" w:cs="Times New Roman"/>
          <w:sz w:val="32"/>
          <w:szCs w:val="32"/>
        </w:rPr>
        <w:t>指事业单位开展专业业务活动及辅助活动所取得的收入。</w:t>
      </w:r>
    </w:p>
    <w:p>
      <w:pPr>
        <w:tabs>
          <w:tab w:val="left" w:pos="11490"/>
        </w:tabs>
        <w:spacing w:line="584" w:lineRule="exact"/>
        <w:ind w:firstLine="643" w:firstLineChars="200"/>
        <w:rPr>
          <w:rFonts w:ascii="仿宋" w:hAnsi="仿宋" w:eastAsia="仿宋" w:cs="Times New Roman"/>
          <w:b/>
          <w:sz w:val="32"/>
          <w:szCs w:val="32"/>
        </w:rPr>
      </w:pPr>
      <w:r>
        <w:rPr>
          <w:rFonts w:ascii="仿宋" w:hAnsi="仿宋" w:eastAsia="仿宋" w:cs="Times New Roman"/>
          <w:b/>
          <w:sz w:val="32"/>
          <w:szCs w:val="32"/>
        </w:rPr>
        <w:t>3、其他收入：</w:t>
      </w:r>
      <w:r>
        <w:rPr>
          <w:rFonts w:ascii="仿宋" w:hAnsi="仿宋" w:eastAsia="仿宋"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4、基本支出：</w:t>
      </w:r>
      <w:r>
        <w:rPr>
          <w:rFonts w:ascii="仿宋" w:hAnsi="仿宋" w:eastAsia="仿宋"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5、项目支出：</w:t>
      </w:r>
      <w:r>
        <w:rPr>
          <w:rFonts w:ascii="仿宋" w:hAnsi="仿宋" w:eastAsia="仿宋"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6、上缴上级支出：</w:t>
      </w:r>
      <w:r>
        <w:rPr>
          <w:rFonts w:ascii="仿宋" w:hAnsi="仿宋" w:eastAsia="仿宋" w:cs="Times New Roman"/>
          <w:sz w:val="32"/>
          <w:szCs w:val="32"/>
        </w:rPr>
        <w:t>指下级单位上缴上级的支出。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7、“三公”经费：</w:t>
      </w:r>
      <w:r>
        <w:rPr>
          <w:rFonts w:ascii="仿宋" w:hAnsi="仿宋" w:eastAsia="仿宋"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8、机关运行费：</w:t>
      </w:r>
      <w:r>
        <w:rPr>
          <w:rFonts w:ascii="仿宋" w:hAnsi="仿宋" w:eastAsia="仿宋"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9、上年结转：</w:t>
      </w:r>
      <w:r>
        <w:rPr>
          <w:rFonts w:ascii="仿宋" w:hAnsi="仿宋" w:eastAsia="仿宋" w:cs="Times New Roman"/>
          <w:sz w:val="32"/>
          <w:szCs w:val="32"/>
        </w:rPr>
        <w:t>指以前年度尚未完成、结转到本年仍按原规定用途继续使用的资金。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10、事业单位经营支出：</w:t>
      </w:r>
      <w:r>
        <w:rPr>
          <w:rFonts w:ascii="仿宋" w:hAnsi="仿宋" w:eastAsia="仿宋"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Arial Unicode MS"/>
    <w:panose1 w:val="00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42</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ZjcwNjQ2ZjMwNjUwZGRiZGY0ZDIwMzZjODFmMGZmNWQifQ=="/>
  </w:docVars>
  <w:rsids>
    <w:rsidRoot w:val="00D347CC"/>
    <w:rsid w:val="000050DD"/>
    <w:rsid w:val="000261B2"/>
    <w:rsid w:val="000D16EE"/>
    <w:rsid w:val="000F25CA"/>
    <w:rsid w:val="000F45DD"/>
    <w:rsid w:val="001F687F"/>
    <w:rsid w:val="00211FFB"/>
    <w:rsid w:val="00262092"/>
    <w:rsid w:val="00274CD5"/>
    <w:rsid w:val="003073D9"/>
    <w:rsid w:val="003173E4"/>
    <w:rsid w:val="00324DEA"/>
    <w:rsid w:val="00386C0C"/>
    <w:rsid w:val="003909CD"/>
    <w:rsid w:val="00391E11"/>
    <w:rsid w:val="003F44D0"/>
    <w:rsid w:val="003F732C"/>
    <w:rsid w:val="00406D17"/>
    <w:rsid w:val="004139FC"/>
    <w:rsid w:val="00457F81"/>
    <w:rsid w:val="004A54AA"/>
    <w:rsid w:val="004E0A4F"/>
    <w:rsid w:val="00507F82"/>
    <w:rsid w:val="0053255B"/>
    <w:rsid w:val="00536CE0"/>
    <w:rsid w:val="00593845"/>
    <w:rsid w:val="005A123B"/>
    <w:rsid w:val="005F513A"/>
    <w:rsid w:val="00611D60"/>
    <w:rsid w:val="00682F94"/>
    <w:rsid w:val="00761713"/>
    <w:rsid w:val="00774782"/>
    <w:rsid w:val="008552EF"/>
    <w:rsid w:val="008F2064"/>
    <w:rsid w:val="008F6417"/>
    <w:rsid w:val="009832FD"/>
    <w:rsid w:val="00A177F9"/>
    <w:rsid w:val="00AD73FB"/>
    <w:rsid w:val="00AE0817"/>
    <w:rsid w:val="00B01954"/>
    <w:rsid w:val="00B52997"/>
    <w:rsid w:val="00B80935"/>
    <w:rsid w:val="00D347CC"/>
    <w:rsid w:val="00DB6A77"/>
    <w:rsid w:val="00E375C8"/>
    <w:rsid w:val="00E44E95"/>
    <w:rsid w:val="00E46D39"/>
    <w:rsid w:val="00E771B9"/>
    <w:rsid w:val="00ED3546"/>
    <w:rsid w:val="00EE07AC"/>
    <w:rsid w:val="00F8539F"/>
    <w:rsid w:val="71C6039A"/>
    <w:rsid w:val="72E16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link w:val="40"/>
    <w:uiPriority w:val="99"/>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link w:val="39"/>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uiPriority w:val="0"/>
    <w:rPr>
      <w:rFonts w:ascii="Times New Roman" w:hAnsi="Times New Roman" w:cs="Times New Roman"/>
      <w:szCs w:val="24"/>
    </w:rPr>
  </w:style>
  <w:style w:type="paragraph" w:styleId="6">
    <w:name w:val="footnote text"/>
    <w:basedOn w:val="1"/>
    <w:uiPriority w:val="0"/>
    <w:pPr>
      <w:snapToGrid w:val="0"/>
      <w:jc w:val="left"/>
    </w:pPr>
    <w:rPr>
      <w:rFonts w:cs="Times New Roman"/>
      <w:sz w:val="18"/>
      <w:szCs w:val="18"/>
    </w:rPr>
  </w:style>
  <w:style w:type="paragraph" w:styleId="7">
    <w:name w:val="toc 2"/>
    <w:basedOn w:val="1"/>
    <w:next w:val="1"/>
    <w:uiPriority w:val="0"/>
    <w:pPr>
      <w:ind w:left="200" w:leftChars="200"/>
    </w:pPr>
    <w:rPr>
      <w:rFonts w:ascii="Times New Roman" w:hAnsi="Times New Roman" w:cs="Times New Roman"/>
      <w:szCs w:val="24"/>
    </w:rPr>
  </w:style>
  <w:style w:type="table" w:styleId="9">
    <w:name w:val="Table Grid"/>
    <w:basedOn w:val="8"/>
    <w:uiPriority w:val="0"/>
    <w:rPr>
      <w:rFonts w:eastAsiaTheme="minorEastAsi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footnote reference"/>
    <w:uiPriority w:val="0"/>
    <w:rPr>
      <w:vertAlign w:val="superscript"/>
    </w:rPr>
  </w:style>
  <w:style w:type="paragraph" w:customStyle="1" w:styleId="12">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插入文本样式-插入总体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14">
    <w:name w:val="插入文本样式-插入职责分类绩效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15">
    <w:name w:val="插入文本样式-插入实现年度发展规划目标的保障措施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16">
    <w:name w:val="单元格样式20"/>
    <w:basedOn w:val="1"/>
    <w:qFormat/>
    <w:uiPriority w:val="0"/>
    <w:pPr>
      <w:widowControl/>
      <w:jc w:val="left"/>
    </w:pPr>
    <w:rPr>
      <w:rFonts w:ascii="方正小标宋_GBK" w:hAnsi="方正小标宋_GBK" w:eastAsia="方正小标宋_GBK" w:cs="方正小标宋_GBK"/>
      <w:kern w:val="0"/>
      <w:sz w:val="24"/>
      <w:szCs w:val="24"/>
      <w:lang w:eastAsia="uk-UA"/>
    </w:rPr>
  </w:style>
  <w:style w:type="paragraph" w:customStyle="1" w:styleId="17">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8">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9">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0">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1">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2">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3">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4">
    <w:name w:val="单元格样式23"/>
    <w:basedOn w:val="1"/>
    <w:qFormat/>
    <w:uiPriority w:val="0"/>
    <w:pPr>
      <w:widowControl/>
      <w:jc w:val="right"/>
    </w:pPr>
    <w:rPr>
      <w:rFonts w:ascii="方正书宋_GBK" w:hAnsi="方正书宋_GBK" w:eastAsia="方正书宋_GBK" w:cs="方正书宋_GBK"/>
      <w:kern w:val="0"/>
      <w:sz w:val="24"/>
      <w:szCs w:val="24"/>
      <w:lang w:eastAsia="uk-UA"/>
    </w:rPr>
  </w:style>
  <w:style w:type="paragraph" w:customStyle="1" w:styleId="25">
    <w:name w:val="单元格样式22"/>
    <w:basedOn w:val="1"/>
    <w:qFormat/>
    <w:uiPriority w:val="0"/>
    <w:pPr>
      <w:widowControl/>
      <w:jc w:val="right"/>
    </w:pPr>
    <w:rPr>
      <w:rFonts w:ascii="方正小标宋_GBK" w:hAnsi="方正小标宋_GBK" w:eastAsia="方正小标宋_GBK" w:cs="方正小标宋_GBK"/>
      <w:kern w:val="0"/>
      <w:sz w:val="24"/>
      <w:szCs w:val="24"/>
      <w:lang w:eastAsia="uk-UA"/>
    </w:rPr>
  </w:style>
  <w:style w:type="paragraph" w:customStyle="1" w:styleId="26">
    <w:name w:val="单元格样式21"/>
    <w:basedOn w:val="1"/>
    <w:qFormat/>
    <w:uiPriority w:val="0"/>
    <w:pPr>
      <w:widowControl/>
      <w:jc w:val="center"/>
    </w:pPr>
    <w:rPr>
      <w:rFonts w:ascii="方正小标宋_GBK" w:hAnsi="方正小标宋_GBK" w:eastAsia="方正小标宋_GBK" w:cs="方正小标宋_GBK"/>
      <w:kern w:val="0"/>
      <w:sz w:val="24"/>
      <w:szCs w:val="24"/>
      <w:lang w:eastAsia="uk-UA"/>
    </w:rPr>
  </w:style>
  <w:style w:type="paragraph" w:customStyle="1" w:styleId="27">
    <w:name w:val="插入文本样式-插入部门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8">
    <w:name w:val="插入文本样式-插入预算公开部门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9">
    <w:name w:val="插入文本样式-插入预算公开部门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0">
    <w:name w:val="插入文本样式-插入预算公开部门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1">
    <w:name w:val="插入文本样式-插入单位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2">
    <w:name w:val="插入文本样式-插入预算公开单位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3">
    <w:name w:val="插入文本样式-插入预算公开单位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4">
    <w:name w:val="插入文本样式-插入预算公开单位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5">
    <w:name w:val="TOC 2"/>
    <w:basedOn w:val="1"/>
    <w:qFormat/>
    <w:uiPriority w:val="0"/>
    <w:pPr>
      <w:widowControl/>
      <w:ind w:left="240"/>
      <w:jc w:val="left"/>
    </w:pPr>
    <w:rPr>
      <w:rFonts w:ascii="Times New Roman" w:hAnsi="Times New Roman" w:eastAsia="Times New Roman" w:cs="Times New Roman"/>
      <w:kern w:val="0"/>
      <w:sz w:val="24"/>
      <w:szCs w:val="24"/>
      <w:lang w:eastAsia="uk-UA"/>
    </w:rPr>
  </w:style>
  <w:style w:type="paragraph" w:customStyle="1" w:styleId="36">
    <w:name w:val="TOC 3"/>
    <w:basedOn w:val="1"/>
    <w:qFormat/>
    <w:uiPriority w:val="0"/>
    <w:pPr>
      <w:widowControl/>
      <w:ind w:left="480"/>
      <w:jc w:val="left"/>
    </w:pPr>
    <w:rPr>
      <w:rFonts w:ascii="Times New Roman" w:hAnsi="Times New Roman" w:eastAsia="Times New Roman" w:cs="Times New Roman"/>
      <w:kern w:val="0"/>
      <w:sz w:val="24"/>
      <w:szCs w:val="24"/>
      <w:lang w:eastAsia="uk-UA"/>
    </w:rPr>
  </w:style>
  <w:style w:type="paragraph" w:customStyle="1" w:styleId="37">
    <w:name w:val="TOC 4"/>
    <w:basedOn w:val="1"/>
    <w:qFormat/>
    <w:uiPriority w:val="0"/>
    <w:pPr>
      <w:widowControl/>
      <w:ind w:left="720"/>
      <w:jc w:val="left"/>
    </w:pPr>
    <w:rPr>
      <w:rFonts w:ascii="Times New Roman" w:hAnsi="Times New Roman" w:eastAsia="Times New Roman" w:cs="Times New Roman"/>
      <w:kern w:val="0"/>
      <w:sz w:val="24"/>
      <w:szCs w:val="24"/>
      <w:lang w:eastAsia="uk-UA"/>
    </w:rPr>
  </w:style>
  <w:style w:type="paragraph" w:customStyle="1" w:styleId="38">
    <w:name w:val="TOC 1"/>
    <w:basedOn w:val="1"/>
    <w:qFormat/>
    <w:uiPriority w:val="0"/>
    <w:pPr>
      <w:widowControl/>
      <w:spacing w:before="120"/>
      <w:ind w:firstLine="560"/>
      <w:jc w:val="left"/>
    </w:pPr>
    <w:rPr>
      <w:rFonts w:ascii="Times New Roman" w:hAnsi="Times New Roman" w:eastAsia="方正仿宋_GBK" w:cs="Times New Roman"/>
      <w:color w:val="000000"/>
      <w:kern w:val="0"/>
      <w:sz w:val="28"/>
      <w:szCs w:val="24"/>
      <w:lang w:eastAsia="uk-UA"/>
    </w:rPr>
  </w:style>
  <w:style w:type="character" w:customStyle="1" w:styleId="39">
    <w:name w:val="页眉 Char"/>
    <w:basedOn w:val="10"/>
    <w:link w:val="4"/>
    <w:qFormat/>
    <w:uiPriority w:val="99"/>
    <w:rPr>
      <w:kern w:val="2"/>
      <w:sz w:val="18"/>
      <w:szCs w:val="18"/>
    </w:rPr>
  </w:style>
  <w:style w:type="character" w:customStyle="1" w:styleId="40">
    <w:name w:val="页脚 Char"/>
    <w:basedOn w:val="10"/>
    <w:link w:val="3"/>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42</Pages>
  <Words>16593</Words>
  <Characters>17460</Characters>
  <Lines>138</Lines>
  <Paragraphs>39</Paragraphs>
  <TotalTime>9025</TotalTime>
  <ScaleCrop>false</ScaleCrop>
  <LinksUpToDate>false</LinksUpToDate>
  <CharactersWithSpaces>17511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2023-11-16T07:01:35Z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20F125F2AF2F49CF9CC9657FC87090D2</vt:lpwstr>
  </property>
</Properties>
</file>